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8A8E9" w14:textId="7C0523FA" w:rsidR="009C5192" w:rsidRPr="008E3D0F" w:rsidRDefault="009C5192" w:rsidP="00917C78">
      <w:bookmarkStart w:id="0" w:name="_Hlk96073611"/>
      <w:bookmarkEnd w:id="0"/>
    </w:p>
    <w:p w14:paraId="7228A8EA" w14:textId="77777777" w:rsidR="009C5192" w:rsidRPr="008E3D0F" w:rsidRDefault="009C5192" w:rsidP="004E5EF8">
      <w:pPr>
        <w:jc w:val="center"/>
        <w:rPr>
          <w:rFonts w:ascii="Trebuchet MS" w:hAnsi="Trebuchet MS"/>
          <w:sz w:val="36"/>
          <w:szCs w:val="36"/>
        </w:rPr>
      </w:pPr>
    </w:p>
    <w:p w14:paraId="7228A8EB" w14:textId="41A35EBC" w:rsidR="009C5192" w:rsidRPr="0095748F" w:rsidRDefault="00C3249C" w:rsidP="004E5EF8">
      <w:pPr>
        <w:jc w:val="center"/>
        <w:rPr>
          <w:rFonts w:ascii="Arial" w:hAnsi="Arial" w:cs="Arial"/>
          <w:sz w:val="36"/>
          <w:szCs w:val="36"/>
        </w:rPr>
      </w:pPr>
      <w:r>
        <w:rPr>
          <w:noProof/>
        </w:rPr>
        <w:drawing>
          <wp:inline distT="0" distB="0" distL="0" distR="0" wp14:anchorId="2290E07E" wp14:editId="19227304">
            <wp:extent cx="4753598" cy="1695450"/>
            <wp:effectExtent l="0" t="0" r="0" b="0"/>
            <wp:docPr id="1" name="Imagem 1"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bai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8045" cy="1697036"/>
                    </a:xfrm>
                    <a:prstGeom prst="rect">
                      <a:avLst/>
                    </a:prstGeom>
                    <a:noFill/>
                    <a:ln>
                      <a:noFill/>
                    </a:ln>
                  </pic:spPr>
                </pic:pic>
              </a:graphicData>
            </a:graphic>
          </wp:inline>
        </w:drawing>
      </w:r>
    </w:p>
    <w:p w14:paraId="7228A8EC" w14:textId="77777777" w:rsidR="009C5192" w:rsidRPr="0095748F" w:rsidRDefault="009C5192" w:rsidP="004E5EF8">
      <w:pPr>
        <w:jc w:val="center"/>
        <w:rPr>
          <w:rFonts w:ascii="Arial" w:hAnsi="Arial" w:cs="Arial"/>
          <w:sz w:val="36"/>
          <w:szCs w:val="36"/>
        </w:rPr>
      </w:pPr>
    </w:p>
    <w:p w14:paraId="7228A8ED" w14:textId="77777777" w:rsidR="009C5192" w:rsidRPr="0095748F" w:rsidRDefault="009C5192" w:rsidP="00C3249C">
      <w:pPr>
        <w:rPr>
          <w:rFonts w:ascii="Arial" w:hAnsi="Arial" w:cs="Arial"/>
          <w:sz w:val="36"/>
          <w:szCs w:val="36"/>
        </w:rPr>
      </w:pPr>
    </w:p>
    <w:p w14:paraId="7228A8EE" w14:textId="77777777" w:rsidR="009C5192" w:rsidRPr="0095748F" w:rsidRDefault="009C5192" w:rsidP="004E5EF8">
      <w:pPr>
        <w:jc w:val="center"/>
        <w:rPr>
          <w:rFonts w:ascii="Arial" w:hAnsi="Arial" w:cs="Arial"/>
          <w:sz w:val="36"/>
          <w:szCs w:val="36"/>
        </w:rPr>
      </w:pPr>
    </w:p>
    <w:p w14:paraId="155A07E5" w14:textId="19DD9DAC" w:rsidR="005F1139" w:rsidRPr="00CB2BB1" w:rsidRDefault="00D870C1" w:rsidP="005F1139">
      <w:pPr>
        <w:jc w:val="center"/>
        <w:rPr>
          <w:rFonts w:ascii="Arial" w:hAnsi="Arial" w:cs="Arial"/>
          <w:b/>
          <w:sz w:val="48"/>
          <w:szCs w:val="48"/>
        </w:rPr>
      </w:pPr>
      <w:r>
        <w:rPr>
          <w:rFonts w:ascii="Arial" w:hAnsi="Arial" w:cs="Arial"/>
          <w:b/>
          <w:sz w:val="48"/>
          <w:szCs w:val="48"/>
        </w:rPr>
        <w:t xml:space="preserve">Análise </w:t>
      </w:r>
      <w:r w:rsidR="00427089">
        <w:rPr>
          <w:rFonts w:ascii="Arial" w:hAnsi="Arial" w:cs="Arial"/>
          <w:b/>
          <w:sz w:val="48"/>
          <w:szCs w:val="48"/>
        </w:rPr>
        <w:t>da Alteração da Tabela do</w:t>
      </w:r>
      <w:r w:rsidR="00E551B2">
        <w:rPr>
          <w:rFonts w:ascii="Arial" w:hAnsi="Arial" w:cs="Arial"/>
          <w:b/>
          <w:sz w:val="48"/>
          <w:szCs w:val="48"/>
        </w:rPr>
        <w:t xml:space="preserve"> IRPF </w:t>
      </w:r>
    </w:p>
    <w:p w14:paraId="39EDA8FE" w14:textId="77777777" w:rsidR="005F1139" w:rsidRPr="006D27A0" w:rsidRDefault="005F1139" w:rsidP="005F1139">
      <w:pPr>
        <w:spacing w:after="0" w:line="240" w:lineRule="auto"/>
        <w:jc w:val="center"/>
        <w:rPr>
          <w:rFonts w:ascii="Arial" w:hAnsi="Arial" w:cs="Arial"/>
          <w:sz w:val="36"/>
          <w:szCs w:val="36"/>
        </w:rPr>
      </w:pPr>
    </w:p>
    <w:p w14:paraId="7228A8F1" w14:textId="77777777" w:rsidR="009C5192" w:rsidRPr="00746931" w:rsidRDefault="009C5192" w:rsidP="00746931">
      <w:pPr>
        <w:rPr>
          <w:rFonts w:ascii="Arial" w:hAnsi="Arial" w:cs="Arial"/>
          <w:sz w:val="32"/>
          <w:szCs w:val="32"/>
        </w:rPr>
      </w:pPr>
    </w:p>
    <w:p w14:paraId="7228A8F4" w14:textId="77777777" w:rsidR="00467483" w:rsidRDefault="00467483" w:rsidP="004E5EF8">
      <w:pPr>
        <w:jc w:val="center"/>
        <w:rPr>
          <w:rFonts w:ascii="Arial" w:hAnsi="Arial" w:cs="Arial"/>
          <w:b/>
          <w:sz w:val="32"/>
          <w:szCs w:val="32"/>
        </w:rPr>
      </w:pPr>
    </w:p>
    <w:p w14:paraId="7228A8F5" w14:textId="77777777" w:rsidR="00467483" w:rsidRPr="0095748F" w:rsidRDefault="00467483" w:rsidP="004E5EF8">
      <w:pPr>
        <w:jc w:val="center"/>
        <w:rPr>
          <w:rFonts w:ascii="Arial" w:hAnsi="Arial" w:cs="Arial"/>
          <w:b/>
          <w:sz w:val="32"/>
          <w:szCs w:val="32"/>
        </w:rPr>
      </w:pPr>
    </w:p>
    <w:p w14:paraId="7228A8F7" w14:textId="77777777" w:rsidR="009C5192" w:rsidRDefault="009C5192" w:rsidP="003243EB">
      <w:pPr>
        <w:rPr>
          <w:rFonts w:ascii="Arial" w:hAnsi="Arial" w:cs="Arial"/>
          <w:b/>
        </w:rPr>
      </w:pPr>
    </w:p>
    <w:p w14:paraId="7228A8F8" w14:textId="77777777" w:rsidR="009C5192" w:rsidRDefault="009C5192" w:rsidP="004E5EF8">
      <w:pPr>
        <w:jc w:val="right"/>
        <w:rPr>
          <w:rFonts w:ascii="Arial" w:hAnsi="Arial" w:cs="Arial"/>
          <w:b/>
        </w:rPr>
      </w:pPr>
    </w:p>
    <w:p w14:paraId="7228A8F9" w14:textId="77777777" w:rsidR="009C5192" w:rsidRPr="00741EA7" w:rsidRDefault="009C5192" w:rsidP="00467483">
      <w:pPr>
        <w:spacing w:after="0" w:line="240" w:lineRule="auto"/>
        <w:jc w:val="right"/>
        <w:rPr>
          <w:rFonts w:ascii="Arial" w:hAnsi="Arial" w:cs="Arial"/>
          <w:b/>
        </w:rPr>
      </w:pPr>
      <w:r w:rsidRPr="00741EA7">
        <w:rPr>
          <w:rFonts w:ascii="Arial" w:hAnsi="Arial" w:cs="Arial"/>
          <w:b/>
        </w:rPr>
        <w:t>Elaboração: Departamento de Estudos</w:t>
      </w:r>
    </w:p>
    <w:p w14:paraId="7228A8FA" w14:textId="77777777" w:rsidR="009C5192" w:rsidRPr="00741EA7" w:rsidRDefault="009C5192" w:rsidP="00467483">
      <w:pPr>
        <w:spacing w:after="0" w:line="240" w:lineRule="auto"/>
        <w:jc w:val="right"/>
        <w:rPr>
          <w:rFonts w:ascii="Arial" w:hAnsi="Arial" w:cs="Arial"/>
          <w:b/>
        </w:rPr>
      </w:pPr>
      <w:r w:rsidRPr="00741EA7">
        <w:rPr>
          <w:rFonts w:ascii="Arial" w:hAnsi="Arial" w:cs="Arial"/>
          <w:b/>
        </w:rPr>
        <w:t xml:space="preserve"> Técnicos do </w:t>
      </w:r>
      <w:r w:rsidRPr="000A000E">
        <w:rPr>
          <w:rFonts w:ascii="Arial" w:hAnsi="Arial" w:cs="Arial"/>
          <w:b/>
        </w:rPr>
        <w:t>Sindifisco Nacional</w:t>
      </w:r>
    </w:p>
    <w:p w14:paraId="7228A8FB" w14:textId="77777777" w:rsidR="009C5192" w:rsidRPr="0095748F" w:rsidRDefault="009C5192" w:rsidP="004E5EF8">
      <w:pPr>
        <w:jc w:val="center"/>
        <w:rPr>
          <w:rFonts w:ascii="Arial" w:hAnsi="Arial" w:cs="Arial"/>
          <w:sz w:val="36"/>
          <w:szCs w:val="36"/>
        </w:rPr>
      </w:pPr>
    </w:p>
    <w:p w14:paraId="7228A8FC" w14:textId="77777777" w:rsidR="009C5192" w:rsidRPr="0095748F" w:rsidRDefault="009C5192" w:rsidP="004E5EF8">
      <w:pPr>
        <w:jc w:val="center"/>
        <w:rPr>
          <w:rFonts w:ascii="Arial" w:hAnsi="Arial" w:cs="Arial"/>
          <w:sz w:val="36"/>
          <w:szCs w:val="36"/>
        </w:rPr>
      </w:pPr>
    </w:p>
    <w:p w14:paraId="7228A8FD" w14:textId="2CA3EC43" w:rsidR="009C5192" w:rsidRPr="002F279F" w:rsidRDefault="009C5192" w:rsidP="002F279F">
      <w:pPr>
        <w:jc w:val="center"/>
        <w:rPr>
          <w:rFonts w:ascii="Trebuchet MS" w:hAnsi="Trebuchet MS"/>
        </w:rPr>
        <w:sectPr w:rsidR="009C5192" w:rsidRPr="002F279F" w:rsidSect="004E5EF8">
          <w:headerReference w:type="default" r:id="rId12"/>
          <w:footerReference w:type="even" r:id="rId13"/>
          <w:footerReference w:type="default" r:id="rId14"/>
          <w:pgSz w:w="11906" w:h="16838"/>
          <w:pgMar w:top="851" w:right="1418" w:bottom="851" w:left="1418" w:header="567" w:footer="567" w:gutter="0"/>
          <w:cols w:space="708"/>
          <w:docGrid w:linePitch="360"/>
        </w:sectPr>
      </w:pPr>
      <w:r w:rsidRPr="0095748F">
        <w:rPr>
          <w:rFonts w:ascii="Arial" w:hAnsi="Arial" w:cs="Arial"/>
        </w:rPr>
        <w:t>Brasília-DF,</w:t>
      </w:r>
      <w:r w:rsidR="00AE7B56">
        <w:rPr>
          <w:rFonts w:ascii="Arial" w:hAnsi="Arial" w:cs="Arial"/>
        </w:rPr>
        <w:t xml:space="preserve"> </w:t>
      </w:r>
      <w:r w:rsidR="0038702B">
        <w:rPr>
          <w:rFonts w:ascii="Arial" w:hAnsi="Arial" w:cs="Arial"/>
        </w:rPr>
        <w:t>dezembro</w:t>
      </w:r>
      <w:r w:rsidRPr="0095748F">
        <w:rPr>
          <w:rFonts w:ascii="Arial" w:hAnsi="Arial" w:cs="Arial"/>
        </w:rPr>
        <w:t xml:space="preserve"> de 2</w:t>
      </w:r>
      <w:r w:rsidR="00EF3D22">
        <w:rPr>
          <w:rFonts w:ascii="Arial" w:hAnsi="Arial" w:cs="Arial"/>
        </w:rPr>
        <w:t>0</w:t>
      </w:r>
      <w:r w:rsidR="00C34313">
        <w:rPr>
          <w:rFonts w:ascii="Arial" w:hAnsi="Arial" w:cs="Arial"/>
        </w:rPr>
        <w:t>2</w:t>
      </w:r>
      <w:r w:rsidR="00982B61">
        <w:rPr>
          <w:rFonts w:ascii="Arial" w:hAnsi="Arial" w:cs="Arial"/>
        </w:rPr>
        <w:t>4</w:t>
      </w:r>
    </w:p>
    <w:p w14:paraId="7228A8FE" w14:textId="77777777" w:rsidR="004C2DCF" w:rsidRPr="006D50D1" w:rsidRDefault="004C2DCF" w:rsidP="004C2DCF">
      <w:pPr>
        <w:spacing w:after="0" w:line="240" w:lineRule="auto"/>
        <w:rPr>
          <w:rFonts w:ascii="Arial" w:hAnsi="Arial" w:cs="Arial"/>
          <w:b/>
        </w:rPr>
      </w:pPr>
      <w:r w:rsidRPr="006D50D1">
        <w:rPr>
          <w:rFonts w:ascii="Arial" w:hAnsi="Arial" w:cs="Arial"/>
          <w:b/>
        </w:rPr>
        <w:lastRenderedPageBreak/>
        <w:t>Diretoria Executiva Nacional</w:t>
      </w:r>
    </w:p>
    <w:p w14:paraId="7228A8FF" w14:textId="77777777" w:rsidR="004C2DCF" w:rsidRPr="006D50D1" w:rsidRDefault="004C2DCF" w:rsidP="004C2DCF">
      <w:pPr>
        <w:spacing w:after="0" w:line="240" w:lineRule="auto"/>
        <w:rPr>
          <w:rFonts w:ascii="Arial" w:hAnsi="Arial" w:cs="Arial"/>
          <w:b/>
          <w:sz w:val="20"/>
          <w:szCs w:val="20"/>
        </w:rPr>
      </w:pPr>
    </w:p>
    <w:p w14:paraId="7228A900" w14:textId="77777777" w:rsidR="004C2DCF" w:rsidRPr="006D50D1" w:rsidRDefault="004C2DCF" w:rsidP="004C2DCF">
      <w:pPr>
        <w:spacing w:after="0" w:line="240" w:lineRule="auto"/>
        <w:rPr>
          <w:rFonts w:ascii="Arial" w:hAnsi="Arial" w:cs="Arial"/>
          <w:b/>
          <w:sz w:val="20"/>
          <w:szCs w:val="20"/>
        </w:rPr>
      </w:pPr>
      <w:r w:rsidRPr="006D50D1">
        <w:rPr>
          <w:rFonts w:ascii="Arial" w:hAnsi="Arial" w:cs="Arial"/>
          <w:b/>
          <w:sz w:val="20"/>
          <w:szCs w:val="20"/>
        </w:rPr>
        <w:t>Presidente</w:t>
      </w:r>
    </w:p>
    <w:p w14:paraId="7228A901" w14:textId="196FAEAF" w:rsidR="004C2DCF" w:rsidRPr="007570F5" w:rsidRDefault="00CF36BE" w:rsidP="004C2DCF">
      <w:pPr>
        <w:spacing w:after="0" w:line="240" w:lineRule="auto"/>
        <w:rPr>
          <w:rFonts w:ascii="Arial" w:hAnsi="Arial" w:cs="Arial"/>
          <w:sz w:val="20"/>
          <w:szCs w:val="20"/>
        </w:rPr>
      </w:pPr>
      <w:r w:rsidRPr="007570F5">
        <w:rPr>
          <w:rFonts w:ascii="Arial" w:hAnsi="Arial" w:cs="Arial"/>
          <w:sz w:val="20"/>
          <w:szCs w:val="20"/>
        </w:rPr>
        <w:t>Isac Moreno Falcão Santos</w:t>
      </w:r>
    </w:p>
    <w:p w14:paraId="7228A904" w14:textId="0313623F"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2</w:t>
      </w:r>
      <w:r w:rsidR="00572BB0" w:rsidRPr="007570F5">
        <w:rPr>
          <w:rFonts w:ascii="Arial" w:hAnsi="Arial" w:cs="Arial"/>
          <w:b/>
          <w:sz w:val="20"/>
          <w:szCs w:val="20"/>
          <w:vertAlign w:val="superscript"/>
        </w:rPr>
        <w:t>a</w:t>
      </w:r>
      <w:r w:rsidRPr="007570F5">
        <w:rPr>
          <w:rFonts w:ascii="Arial" w:hAnsi="Arial" w:cs="Arial"/>
          <w:b/>
          <w:sz w:val="20"/>
          <w:szCs w:val="20"/>
        </w:rPr>
        <w:t xml:space="preserve"> Vice-Presidente</w:t>
      </w:r>
    </w:p>
    <w:p w14:paraId="7228A905" w14:textId="25ABFFB1" w:rsidR="004C2DCF" w:rsidRPr="007570F5" w:rsidRDefault="006C6842" w:rsidP="004C2DCF">
      <w:pPr>
        <w:spacing w:after="0" w:line="240" w:lineRule="auto"/>
        <w:rPr>
          <w:rFonts w:ascii="Arial" w:hAnsi="Arial" w:cs="Arial"/>
          <w:sz w:val="20"/>
          <w:szCs w:val="20"/>
        </w:rPr>
      </w:pPr>
      <w:r w:rsidRPr="007570F5">
        <w:rPr>
          <w:rFonts w:ascii="Arial" w:hAnsi="Arial" w:cs="Arial"/>
          <w:sz w:val="20"/>
          <w:szCs w:val="20"/>
          <w:shd w:val="clear" w:color="auto" w:fill="FFFFFF"/>
        </w:rPr>
        <w:t>Natália Ribeiro Nobre Saraiva</w:t>
      </w:r>
    </w:p>
    <w:p w14:paraId="7228A906" w14:textId="749B427D"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Secretári</w:t>
      </w:r>
      <w:r w:rsidR="009101CA" w:rsidRPr="007570F5">
        <w:rPr>
          <w:rFonts w:ascii="Arial" w:hAnsi="Arial" w:cs="Arial"/>
          <w:b/>
          <w:sz w:val="20"/>
          <w:szCs w:val="20"/>
        </w:rPr>
        <w:t>o</w:t>
      </w:r>
      <w:r w:rsidRPr="007570F5">
        <w:rPr>
          <w:rFonts w:ascii="Arial" w:hAnsi="Arial" w:cs="Arial"/>
          <w:b/>
          <w:sz w:val="20"/>
          <w:szCs w:val="20"/>
        </w:rPr>
        <w:t>-Geral</w:t>
      </w:r>
    </w:p>
    <w:p w14:paraId="7228A907" w14:textId="0AACABC1" w:rsidR="004C2DCF" w:rsidRPr="007570F5" w:rsidRDefault="009101CA" w:rsidP="004C2DCF">
      <w:pPr>
        <w:spacing w:after="0" w:line="240" w:lineRule="auto"/>
        <w:rPr>
          <w:rFonts w:ascii="Arial" w:hAnsi="Arial" w:cs="Arial"/>
          <w:sz w:val="20"/>
          <w:szCs w:val="20"/>
        </w:rPr>
      </w:pPr>
      <w:r w:rsidRPr="007570F5">
        <w:rPr>
          <w:rFonts w:ascii="Arial" w:hAnsi="Arial" w:cs="Arial"/>
          <w:sz w:val="20"/>
          <w:szCs w:val="20"/>
        </w:rPr>
        <w:t>Hélio Fernando Muylaert da Silva Lima</w:t>
      </w:r>
    </w:p>
    <w:p w14:paraId="7228A908"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Diretor-Secretário</w:t>
      </w:r>
    </w:p>
    <w:p w14:paraId="7228A909" w14:textId="1E04A1CF" w:rsidR="004C2DCF" w:rsidRPr="007570F5" w:rsidRDefault="000F3CFA" w:rsidP="004C2DCF">
      <w:pPr>
        <w:spacing w:after="0" w:line="240" w:lineRule="auto"/>
        <w:rPr>
          <w:rFonts w:ascii="Arial" w:hAnsi="Arial" w:cs="Arial"/>
          <w:sz w:val="20"/>
          <w:szCs w:val="20"/>
        </w:rPr>
      </w:pPr>
      <w:r w:rsidRPr="007570F5">
        <w:rPr>
          <w:rFonts w:ascii="Arial" w:hAnsi="Arial" w:cs="Arial"/>
          <w:sz w:val="20"/>
          <w:szCs w:val="20"/>
          <w:shd w:val="clear" w:color="auto" w:fill="FFFFFF"/>
        </w:rPr>
        <w:t>Samuel Hilário Rebechi</w:t>
      </w:r>
    </w:p>
    <w:p w14:paraId="7228A90A" w14:textId="71019D9D"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 de Administração e Finanças</w:t>
      </w:r>
    </w:p>
    <w:p w14:paraId="7228A90B" w14:textId="7928FE9C" w:rsidR="004C2DCF" w:rsidRPr="007570F5" w:rsidRDefault="006A2B39" w:rsidP="004C2DCF">
      <w:pPr>
        <w:spacing w:after="0" w:line="240" w:lineRule="auto"/>
        <w:rPr>
          <w:rFonts w:ascii="Arial" w:hAnsi="Arial" w:cs="Arial"/>
          <w:sz w:val="20"/>
          <w:szCs w:val="20"/>
        </w:rPr>
      </w:pPr>
      <w:r w:rsidRPr="007570F5">
        <w:rPr>
          <w:rFonts w:ascii="Arial" w:hAnsi="Arial" w:cs="Arial"/>
          <w:sz w:val="20"/>
          <w:szCs w:val="20"/>
          <w:shd w:val="clear" w:color="auto" w:fill="FFFFFF"/>
        </w:rPr>
        <w:t>Luiz Cláudio de Araújo Martins</w:t>
      </w:r>
    </w:p>
    <w:p w14:paraId="7228A90C"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1º Diretor-Adjunto de Administração e Finanças</w:t>
      </w:r>
    </w:p>
    <w:p w14:paraId="7228A90D" w14:textId="22EBB0ED" w:rsidR="004C2DCF" w:rsidRPr="007570F5" w:rsidRDefault="005935DB" w:rsidP="004C2DCF">
      <w:pPr>
        <w:spacing w:after="0" w:line="240" w:lineRule="auto"/>
        <w:rPr>
          <w:rFonts w:ascii="Arial" w:hAnsi="Arial" w:cs="Arial"/>
          <w:sz w:val="20"/>
          <w:szCs w:val="20"/>
        </w:rPr>
      </w:pPr>
      <w:r w:rsidRPr="007570F5">
        <w:rPr>
          <w:rFonts w:ascii="Arial" w:hAnsi="Arial" w:cs="Arial"/>
          <w:sz w:val="20"/>
          <w:szCs w:val="20"/>
          <w:shd w:val="clear" w:color="auto" w:fill="FFFFFF"/>
        </w:rPr>
        <w:t>Luís Sérgio Borges Fantacini</w:t>
      </w:r>
    </w:p>
    <w:p w14:paraId="7228A90E"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2º Diretor-Adjunto de Administração e Finanças</w:t>
      </w:r>
    </w:p>
    <w:p w14:paraId="7228A90F" w14:textId="2D08882A" w:rsidR="004C2DCF" w:rsidRPr="007570F5" w:rsidRDefault="005935DB" w:rsidP="004C2DCF">
      <w:pPr>
        <w:spacing w:after="0" w:line="240" w:lineRule="auto"/>
        <w:rPr>
          <w:rFonts w:ascii="Arial" w:hAnsi="Arial" w:cs="Arial"/>
          <w:sz w:val="20"/>
          <w:szCs w:val="20"/>
        </w:rPr>
      </w:pPr>
      <w:r w:rsidRPr="007570F5">
        <w:rPr>
          <w:rFonts w:ascii="Arial" w:hAnsi="Arial" w:cs="Arial"/>
          <w:sz w:val="20"/>
          <w:szCs w:val="20"/>
          <w:shd w:val="clear" w:color="auto" w:fill="FFFFFF"/>
        </w:rPr>
        <w:t>Marcos Barbonaglia da Silva</w:t>
      </w:r>
    </w:p>
    <w:p w14:paraId="7228A910"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 de Assuntos Jurídicos</w:t>
      </w:r>
    </w:p>
    <w:p w14:paraId="7228A911" w14:textId="62AB62A2" w:rsidR="004C2DCF" w:rsidRPr="007570F5" w:rsidRDefault="00473C8D" w:rsidP="004C2DCF">
      <w:pPr>
        <w:spacing w:after="0" w:line="240" w:lineRule="auto"/>
        <w:rPr>
          <w:rFonts w:ascii="Arial" w:hAnsi="Arial" w:cs="Arial"/>
          <w:sz w:val="20"/>
          <w:szCs w:val="20"/>
        </w:rPr>
      </w:pPr>
      <w:r w:rsidRPr="007570F5">
        <w:rPr>
          <w:rFonts w:ascii="Arial" w:hAnsi="Arial" w:cs="Arial"/>
          <w:sz w:val="20"/>
          <w:szCs w:val="20"/>
          <w:shd w:val="clear" w:color="auto" w:fill="FFFFFF"/>
        </w:rPr>
        <w:t>Cleber Magalhães</w:t>
      </w:r>
    </w:p>
    <w:p w14:paraId="7228A912"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1º Diretor-Adjunto de Assuntos Jurídicos</w:t>
      </w:r>
    </w:p>
    <w:p w14:paraId="7228A913" w14:textId="7C5FC3BA" w:rsidR="004C2DCF" w:rsidRPr="007570F5" w:rsidRDefault="00473C8D" w:rsidP="004C2DCF">
      <w:pPr>
        <w:spacing w:after="0" w:line="240" w:lineRule="auto"/>
        <w:rPr>
          <w:rFonts w:ascii="Arial" w:hAnsi="Arial" w:cs="Arial"/>
          <w:sz w:val="20"/>
          <w:szCs w:val="20"/>
        </w:rPr>
      </w:pPr>
      <w:r w:rsidRPr="007570F5">
        <w:rPr>
          <w:rFonts w:ascii="Arial" w:hAnsi="Arial" w:cs="Arial"/>
          <w:sz w:val="20"/>
          <w:szCs w:val="20"/>
          <w:shd w:val="clear" w:color="auto" w:fill="FFFFFF"/>
        </w:rPr>
        <w:t>Celso José Ferreira de Oliveira</w:t>
      </w:r>
    </w:p>
    <w:p w14:paraId="7228A914"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2º Diretor-Adjunto de Assuntos Jurídicos</w:t>
      </w:r>
    </w:p>
    <w:p w14:paraId="7228A915" w14:textId="3111B29C" w:rsidR="004C2DCF" w:rsidRPr="007570F5" w:rsidRDefault="00F80B56" w:rsidP="004C2DCF">
      <w:pPr>
        <w:pStyle w:val="Ttulo4"/>
        <w:rPr>
          <w:b/>
          <w:bCs/>
          <w:color w:val="auto"/>
        </w:rPr>
      </w:pPr>
      <w:r w:rsidRPr="007570F5">
        <w:rPr>
          <w:color w:val="auto"/>
        </w:rPr>
        <w:t>Marcelo Porto Rodrigues</w:t>
      </w:r>
    </w:p>
    <w:p w14:paraId="7228A916" w14:textId="0EFDD06F"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w:t>
      </w:r>
      <w:r w:rsidR="00F80B56" w:rsidRPr="007570F5">
        <w:rPr>
          <w:rFonts w:ascii="Arial" w:hAnsi="Arial" w:cs="Arial"/>
          <w:b/>
          <w:sz w:val="20"/>
          <w:szCs w:val="20"/>
        </w:rPr>
        <w:t>a</w:t>
      </w:r>
      <w:r w:rsidRPr="007570F5">
        <w:rPr>
          <w:rFonts w:ascii="Arial" w:hAnsi="Arial" w:cs="Arial"/>
          <w:b/>
          <w:sz w:val="20"/>
          <w:szCs w:val="20"/>
        </w:rPr>
        <w:t xml:space="preserve"> de Defesa Profissional</w:t>
      </w:r>
    </w:p>
    <w:p w14:paraId="7228A917" w14:textId="153A9800" w:rsidR="004C2DCF" w:rsidRPr="007570F5" w:rsidRDefault="00F80B56" w:rsidP="004C2DCF">
      <w:pPr>
        <w:spacing w:after="0" w:line="240" w:lineRule="auto"/>
        <w:rPr>
          <w:rFonts w:ascii="Arial" w:hAnsi="Arial" w:cs="Arial"/>
          <w:sz w:val="20"/>
          <w:szCs w:val="20"/>
          <w:shd w:val="clear" w:color="auto" w:fill="FFFFFF"/>
        </w:rPr>
      </w:pPr>
      <w:r w:rsidRPr="007570F5">
        <w:rPr>
          <w:rFonts w:ascii="Arial" w:hAnsi="Arial" w:cs="Arial"/>
          <w:sz w:val="20"/>
          <w:szCs w:val="20"/>
          <w:shd w:val="clear" w:color="auto" w:fill="FFFFFF"/>
        </w:rPr>
        <w:t>Nory Celeste Sais de Ferreira</w:t>
      </w:r>
    </w:p>
    <w:p w14:paraId="7228A91A"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 de Estudos Técnicos</w:t>
      </w:r>
    </w:p>
    <w:p w14:paraId="7228A91B" w14:textId="4A26D1C4" w:rsidR="004C2DCF" w:rsidRPr="007570F5" w:rsidRDefault="00575D71" w:rsidP="004C2DCF">
      <w:pPr>
        <w:spacing w:after="0" w:line="240" w:lineRule="auto"/>
        <w:rPr>
          <w:rFonts w:ascii="Arial" w:hAnsi="Arial" w:cs="Arial"/>
          <w:sz w:val="20"/>
          <w:szCs w:val="20"/>
        </w:rPr>
      </w:pPr>
      <w:r w:rsidRPr="007570F5">
        <w:rPr>
          <w:rFonts w:ascii="Arial" w:hAnsi="Arial" w:cs="Arial"/>
          <w:sz w:val="20"/>
          <w:szCs w:val="20"/>
          <w:shd w:val="clear" w:color="auto" w:fill="FFFFFF"/>
        </w:rPr>
        <w:t>Gabriel Rissato Leite Ribeiro</w:t>
      </w:r>
    </w:p>
    <w:p w14:paraId="7228A91C" w14:textId="17F4D2FA"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Diretor-Adjunto de Estudos Técnicos</w:t>
      </w:r>
    </w:p>
    <w:p w14:paraId="7228A91D" w14:textId="1B29AAF1" w:rsidR="004C2DCF" w:rsidRPr="007570F5" w:rsidRDefault="00396B0A" w:rsidP="004C2DCF">
      <w:pPr>
        <w:spacing w:after="0" w:line="240" w:lineRule="auto"/>
        <w:rPr>
          <w:rFonts w:ascii="Arial" w:hAnsi="Arial" w:cs="Arial"/>
          <w:sz w:val="20"/>
          <w:szCs w:val="20"/>
        </w:rPr>
      </w:pPr>
      <w:r w:rsidRPr="007570F5">
        <w:rPr>
          <w:rFonts w:ascii="Arial" w:hAnsi="Arial" w:cs="Arial"/>
          <w:sz w:val="20"/>
          <w:szCs w:val="20"/>
          <w:shd w:val="clear" w:color="auto" w:fill="FFFFFF"/>
        </w:rPr>
        <w:t>Marcelo Lettieri Siqueira</w:t>
      </w:r>
    </w:p>
    <w:p w14:paraId="7228A91E"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 de Comunicação Social</w:t>
      </w:r>
    </w:p>
    <w:p w14:paraId="7228A91F" w14:textId="667FFD47" w:rsidR="004C2DCF" w:rsidRPr="007570F5" w:rsidRDefault="00396B0A" w:rsidP="004C2DCF">
      <w:pPr>
        <w:spacing w:after="0" w:line="240" w:lineRule="auto"/>
        <w:rPr>
          <w:rFonts w:ascii="Arial" w:hAnsi="Arial" w:cs="Arial"/>
          <w:b/>
          <w:sz w:val="20"/>
          <w:szCs w:val="20"/>
        </w:rPr>
      </w:pPr>
      <w:r w:rsidRPr="007570F5">
        <w:rPr>
          <w:rFonts w:ascii="Arial" w:hAnsi="Arial" w:cs="Arial"/>
          <w:sz w:val="20"/>
          <w:szCs w:val="20"/>
          <w:shd w:val="clear" w:color="auto" w:fill="FFFFFF"/>
        </w:rPr>
        <w:t>Helder Costa da Rocha</w:t>
      </w:r>
    </w:p>
    <w:p w14:paraId="7228A922"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 xml:space="preserve">Diretor de Assuntos de Aposentadoria  </w:t>
      </w:r>
    </w:p>
    <w:p w14:paraId="7228A923"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e Pensões</w:t>
      </w:r>
    </w:p>
    <w:p w14:paraId="7228A924" w14:textId="721FE1BB" w:rsidR="004C2DCF" w:rsidRPr="007570F5" w:rsidRDefault="00BC2981" w:rsidP="004C2DCF">
      <w:pPr>
        <w:spacing w:after="0" w:line="240" w:lineRule="auto"/>
        <w:rPr>
          <w:rFonts w:ascii="Arial" w:hAnsi="Arial" w:cs="Arial"/>
          <w:b/>
          <w:sz w:val="20"/>
          <w:szCs w:val="20"/>
        </w:rPr>
      </w:pPr>
      <w:r w:rsidRPr="007570F5">
        <w:rPr>
          <w:rFonts w:ascii="Arial" w:hAnsi="Arial" w:cs="Arial"/>
          <w:sz w:val="20"/>
          <w:szCs w:val="20"/>
          <w:shd w:val="clear" w:color="auto" w:fill="FFFFFF"/>
        </w:rPr>
        <w:t>Roberto Toshiro Kasai</w:t>
      </w:r>
    </w:p>
    <w:p w14:paraId="7228A925" w14:textId="7F1F30DC"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Diretor-Adjunt</w:t>
      </w:r>
      <w:r w:rsidR="00551807" w:rsidRPr="007570F5">
        <w:rPr>
          <w:rFonts w:ascii="Arial" w:hAnsi="Arial" w:cs="Arial"/>
          <w:b/>
          <w:sz w:val="20"/>
          <w:szCs w:val="20"/>
        </w:rPr>
        <w:t>o</w:t>
      </w:r>
      <w:r w:rsidRPr="007570F5">
        <w:rPr>
          <w:rFonts w:ascii="Arial" w:hAnsi="Arial" w:cs="Arial"/>
          <w:b/>
          <w:sz w:val="20"/>
          <w:szCs w:val="20"/>
        </w:rPr>
        <w:t xml:space="preserve"> de Assuntos de </w:t>
      </w:r>
    </w:p>
    <w:p w14:paraId="7228A926"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Aposentadoria e Pensões</w:t>
      </w:r>
    </w:p>
    <w:p w14:paraId="7228A927" w14:textId="10AFD77E" w:rsidR="004C2DCF" w:rsidRPr="007570F5" w:rsidRDefault="00A467DF" w:rsidP="004C2DCF">
      <w:pPr>
        <w:spacing w:after="0" w:line="240" w:lineRule="auto"/>
        <w:rPr>
          <w:rFonts w:ascii="Arial" w:hAnsi="Arial" w:cs="Arial"/>
          <w:sz w:val="20"/>
          <w:szCs w:val="20"/>
        </w:rPr>
      </w:pPr>
      <w:r w:rsidRPr="007570F5">
        <w:rPr>
          <w:rFonts w:ascii="Arial" w:hAnsi="Arial" w:cs="Arial"/>
          <w:sz w:val="20"/>
          <w:szCs w:val="20"/>
          <w:shd w:val="clear" w:color="auto" w:fill="FFFFFF"/>
        </w:rPr>
        <w:t>Wilson Luiz Müller</w:t>
      </w:r>
    </w:p>
    <w:p w14:paraId="7228A928" w14:textId="473BA32F"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 d</w:t>
      </w:r>
      <w:r w:rsidR="00367D15" w:rsidRPr="007570F5">
        <w:rPr>
          <w:rFonts w:ascii="Arial" w:hAnsi="Arial" w:cs="Arial"/>
          <w:b/>
          <w:sz w:val="20"/>
          <w:szCs w:val="20"/>
        </w:rPr>
        <w:t>e</w:t>
      </w:r>
      <w:r w:rsidRPr="007570F5">
        <w:rPr>
          <w:rFonts w:ascii="Arial" w:hAnsi="Arial" w:cs="Arial"/>
          <w:b/>
          <w:sz w:val="20"/>
          <w:szCs w:val="20"/>
        </w:rPr>
        <w:t xml:space="preserve"> Plano de Saúde</w:t>
      </w:r>
    </w:p>
    <w:p w14:paraId="7228A929" w14:textId="172483FF" w:rsidR="004C2DCF" w:rsidRPr="007570F5" w:rsidRDefault="00367D15" w:rsidP="004C2DCF">
      <w:pPr>
        <w:spacing w:after="0" w:line="240" w:lineRule="auto"/>
        <w:rPr>
          <w:rFonts w:ascii="Arial" w:hAnsi="Arial" w:cs="Arial"/>
          <w:sz w:val="20"/>
          <w:szCs w:val="20"/>
          <w:shd w:val="clear" w:color="auto" w:fill="FFFFFF"/>
        </w:rPr>
      </w:pPr>
      <w:r w:rsidRPr="007570F5">
        <w:rPr>
          <w:rFonts w:ascii="Arial" w:hAnsi="Arial" w:cs="Arial"/>
          <w:sz w:val="20"/>
          <w:szCs w:val="20"/>
          <w:shd w:val="clear" w:color="auto" w:fill="FFFFFF"/>
        </w:rPr>
        <w:t>Adriano Lima Corrêa</w:t>
      </w:r>
      <w:r w:rsidR="004C2DCF" w:rsidRPr="007570F5">
        <w:rPr>
          <w:rFonts w:ascii="Arial" w:hAnsi="Arial" w:cs="Arial"/>
          <w:sz w:val="20"/>
          <w:szCs w:val="20"/>
          <w:shd w:val="clear" w:color="auto" w:fill="FFFFFF"/>
        </w:rPr>
        <w:t xml:space="preserve"> </w:t>
      </w:r>
    </w:p>
    <w:p w14:paraId="7228A92A" w14:textId="55A34C9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Diretor-Adjunto d</w:t>
      </w:r>
      <w:r w:rsidR="000D1326">
        <w:rPr>
          <w:rFonts w:ascii="Arial" w:hAnsi="Arial" w:cs="Arial"/>
          <w:b/>
          <w:sz w:val="20"/>
          <w:szCs w:val="20"/>
        </w:rPr>
        <w:t>e</w:t>
      </w:r>
      <w:r w:rsidRPr="007570F5">
        <w:rPr>
          <w:rFonts w:ascii="Arial" w:hAnsi="Arial" w:cs="Arial"/>
          <w:b/>
          <w:sz w:val="20"/>
          <w:szCs w:val="20"/>
        </w:rPr>
        <w:t xml:space="preserve"> Plano de Saúde</w:t>
      </w:r>
    </w:p>
    <w:p w14:paraId="0F8174CE" w14:textId="45693626" w:rsidR="004A7078" w:rsidRPr="007570F5" w:rsidRDefault="00367D15" w:rsidP="004A7078">
      <w:pPr>
        <w:spacing w:after="0" w:line="240" w:lineRule="auto"/>
        <w:rPr>
          <w:rFonts w:ascii="Arial" w:hAnsi="Arial" w:cs="Arial"/>
          <w:sz w:val="20"/>
          <w:szCs w:val="20"/>
          <w:shd w:val="clear" w:color="auto" w:fill="FFFFFF"/>
        </w:rPr>
      </w:pPr>
      <w:r w:rsidRPr="007570F5">
        <w:rPr>
          <w:rFonts w:ascii="Arial" w:hAnsi="Arial" w:cs="Arial"/>
          <w:sz w:val="20"/>
          <w:szCs w:val="20"/>
          <w:shd w:val="clear" w:color="auto" w:fill="FFFFFF"/>
        </w:rPr>
        <w:t>José Afonso Silva Ramos</w:t>
      </w:r>
      <w:r w:rsidR="004A7078" w:rsidRPr="007570F5">
        <w:rPr>
          <w:rFonts w:ascii="Arial" w:hAnsi="Arial" w:cs="Arial"/>
          <w:sz w:val="20"/>
          <w:szCs w:val="20"/>
          <w:shd w:val="clear" w:color="auto" w:fill="FFFFFF"/>
        </w:rPr>
        <w:t xml:space="preserve"> </w:t>
      </w:r>
    </w:p>
    <w:p w14:paraId="7228A92C"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 de Assuntos Parlamentares</w:t>
      </w:r>
    </w:p>
    <w:p w14:paraId="7228A92D" w14:textId="08953DB4" w:rsidR="004C2DCF" w:rsidRPr="007570F5" w:rsidRDefault="00C00516" w:rsidP="004C2DCF">
      <w:pPr>
        <w:spacing w:after="0" w:line="240" w:lineRule="auto"/>
        <w:rPr>
          <w:rFonts w:ascii="Arial" w:hAnsi="Arial" w:cs="Arial"/>
          <w:sz w:val="20"/>
          <w:szCs w:val="20"/>
        </w:rPr>
      </w:pPr>
      <w:r w:rsidRPr="007570F5">
        <w:rPr>
          <w:rFonts w:ascii="Arial" w:hAnsi="Arial" w:cs="Arial"/>
          <w:sz w:val="20"/>
          <w:szCs w:val="20"/>
          <w:shd w:val="clear" w:color="auto" w:fill="FFFFFF"/>
        </w:rPr>
        <w:t>Floriano Martins de Sá Neto</w:t>
      </w:r>
    </w:p>
    <w:p w14:paraId="7228A92E" w14:textId="55B6AB2E"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w:t>
      </w:r>
      <w:r w:rsidR="00551807" w:rsidRPr="007570F5">
        <w:rPr>
          <w:rFonts w:ascii="Arial" w:hAnsi="Arial" w:cs="Arial"/>
          <w:b/>
          <w:sz w:val="20"/>
          <w:szCs w:val="20"/>
        </w:rPr>
        <w:t>a</w:t>
      </w:r>
      <w:r w:rsidRPr="007570F5">
        <w:rPr>
          <w:rFonts w:ascii="Arial" w:hAnsi="Arial" w:cs="Arial"/>
          <w:b/>
          <w:sz w:val="20"/>
          <w:szCs w:val="20"/>
        </w:rPr>
        <w:t>-Adjunt</w:t>
      </w:r>
      <w:r w:rsidR="00551807" w:rsidRPr="007570F5">
        <w:rPr>
          <w:rFonts w:ascii="Arial" w:hAnsi="Arial" w:cs="Arial"/>
          <w:b/>
          <w:sz w:val="20"/>
          <w:szCs w:val="20"/>
        </w:rPr>
        <w:t>a</w:t>
      </w:r>
      <w:r w:rsidRPr="007570F5">
        <w:rPr>
          <w:rFonts w:ascii="Arial" w:hAnsi="Arial" w:cs="Arial"/>
          <w:b/>
          <w:sz w:val="20"/>
          <w:szCs w:val="20"/>
        </w:rPr>
        <w:t xml:space="preserve"> de Assuntos Parlamentares</w:t>
      </w:r>
    </w:p>
    <w:p w14:paraId="7228A92F" w14:textId="141AF686" w:rsidR="004C2DCF" w:rsidRPr="007570F5" w:rsidRDefault="00551807" w:rsidP="004C2DCF">
      <w:pPr>
        <w:spacing w:after="0" w:line="240" w:lineRule="auto"/>
        <w:rPr>
          <w:rFonts w:ascii="Arial" w:hAnsi="Arial" w:cs="Arial"/>
          <w:sz w:val="20"/>
          <w:szCs w:val="20"/>
        </w:rPr>
      </w:pPr>
      <w:r w:rsidRPr="007570F5">
        <w:rPr>
          <w:rFonts w:ascii="Arial" w:hAnsi="Arial" w:cs="Arial"/>
          <w:sz w:val="20"/>
          <w:szCs w:val="20"/>
          <w:shd w:val="clear" w:color="auto" w:fill="FFFFFF"/>
        </w:rPr>
        <w:t>Patrícia Fiore Cabral</w:t>
      </w:r>
    </w:p>
    <w:p w14:paraId="7228A930"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 de Relações Internacionais e Intersindicais</w:t>
      </w:r>
    </w:p>
    <w:p w14:paraId="24CE5D5E" w14:textId="77777777" w:rsidR="00107452" w:rsidRDefault="00107452" w:rsidP="004C2DCF">
      <w:pPr>
        <w:spacing w:after="0" w:line="240" w:lineRule="auto"/>
        <w:rPr>
          <w:rFonts w:ascii="Arial" w:hAnsi="Arial" w:cs="Arial"/>
          <w:sz w:val="20"/>
          <w:szCs w:val="20"/>
          <w:shd w:val="clear" w:color="auto" w:fill="FFFFFF"/>
        </w:rPr>
      </w:pPr>
    </w:p>
    <w:p w14:paraId="1BE0A3EF" w14:textId="77777777" w:rsidR="00107452" w:rsidRDefault="00107452" w:rsidP="004C2DCF">
      <w:pPr>
        <w:spacing w:after="0" w:line="240" w:lineRule="auto"/>
        <w:rPr>
          <w:rFonts w:ascii="Arial" w:hAnsi="Arial" w:cs="Arial"/>
          <w:sz w:val="20"/>
          <w:szCs w:val="20"/>
          <w:shd w:val="clear" w:color="auto" w:fill="FFFFFF"/>
        </w:rPr>
      </w:pPr>
    </w:p>
    <w:p w14:paraId="7228A931" w14:textId="740F523F" w:rsidR="004C2DCF" w:rsidRPr="007570F5" w:rsidRDefault="00D35571" w:rsidP="004C2DCF">
      <w:pPr>
        <w:spacing w:after="0" w:line="240" w:lineRule="auto"/>
        <w:rPr>
          <w:rFonts w:ascii="Arial" w:hAnsi="Arial" w:cs="Arial"/>
          <w:b/>
          <w:sz w:val="20"/>
          <w:szCs w:val="20"/>
        </w:rPr>
      </w:pPr>
      <w:r w:rsidRPr="007570F5">
        <w:rPr>
          <w:rFonts w:ascii="Arial" w:hAnsi="Arial" w:cs="Arial"/>
          <w:sz w:val="20"/>
          <w:szCs w:val="20"/>
          <w:shd w:val="clear" w:color="auto" w:fill="FFFFFF"/>
        </w:rPr>
        <w:t>Dão Real Pereira dos Santos</w:t>
      </w:r>
    </w:p>
    <w:p w14:paraId="7228A932" w14:textId="77777777" w:rsidR="004C2DCF" w:rsidRPr="007570F5" w:rsidRDefault="004C2DCF" w:rsidP="004C2DCF">
      <w:pPr>
        <w:spacing w:after="0" w:line="240" w:lineRule="auto"/>
        <w:rPr>
          <w:rFonts w:ascii="Arial" w:hAnsi="Arial" w:cs="Arial"/>
          <w:b/>
          <w:sz w:val="20"/>
          <w:szCs w:val="20"/>
        </w:rPr>
      </w:pPr>
      <w:r w:rsidRPr="007570F5">
        <w:rPr>
          <w:rFonts w:ascii="Arial" w:hAnsi="Arial" w:cs="Arial"/>
          <w:b/>
          <w:sz w:val="20"/>
          <w:szCs w:val="20"/>
        </w:rPr>
        <w:t>Diretora de Defesa da Justiça Fiscal e da Seguridade Social, de Políticas Sociais e Assuntos Especiais</w:t>
      </w:r>
    </w:p>
    <w:p w14:paraId="7228A933" w14:textId="58EFDCA7" w:rsidR="004C2DCF" w:rsidRPr="007570F5" w:rsidRDefault="00AA3C10" w:rsidP="004C2DCF">
      <w:pPr>
        <w:spacing w:after="0" w:line="240" w:lineRule="auto"/>
        <w:rPr>
          <w:rFonts w:ascii="Arial" w:hAnsi="Arial" w:cs="Arial"/>
          <w:sz w:val="20"/>
          <w:szCs w:val="20"/>
          <w:shd w:val="clear" w:color="auto" w:fill="FFFFFF"/>
        </w:rPr>
      </w:pPr>
      <w:r w:rsidRPr="007570F5">
        <w:rPr>
          <w:rFonts w:ascii="Arial" w:hAnsi="Arial" w:cs="Arial"/>
          <w:sz w:val="20"/>
          <w:szCs w:val="20"/>
          <w:shd w:val="clear" w:color="auto" w:fill="FFFFFF"/>
        </w:rPr>
        <w:t>Maria de Lourdes Nunes Carvalho</w:t>
      </w:r>
    </w:p>
    <w:p w14:paraId="28FF8172" w14:textId="139A25EC" w:rsidR="005C0ED2" w:rsidRPr="004B12BD" w:rsidRDefault="005C0ED2" w:rsidP="005C0ED2">
      <w:pPr>
        <w:autoSpaceDE w:val="0"/>
        <w:autoSpaceDN w:val="0"/>
        <w:adjustRightInd w:val="0"/>
        <w:spacing w:after="0" w:line="240" w:lineRule="auto"/>
        <w:rPr>
          <w:rFonts w:ascii="Arial" w:hAnsi="Arial" w:cs="Arial"/>
          <w:b/>
          <w:bCs/>
          <w:sz w:val="20"/>
          <w:szCs w:val="20"/>
        </w:rPr>
      </w:pPr>
      <w:r w:rsidRPr="004B12BD">
        <w:rPr>
          <w:rFonts w:ascii="Arial" w:hAnsi="Arial" w:cs="Arial"/>
          <w:b/>
          <w:bCs/>
          <w:sz w:val="20"/>
          <w:szCs w:val="20"/>
        </w:rPr>
        <w:t>Diretores Suplentes</w:t>
      </w:r>
    </w:p>
    <w:p w14:paraId="6D15CC2D" w14:textId="77777777" w:rsidR="005C0ED2" w:rsidRPr="004B12BD" w:rsidRDefault="005C0ED2" w:rsidP="005C0ED2">
      <w:pPr>
        <w:autoSpaceDE w:val="0"/>
        <w:autoSpaceDN w:val="0"/>
        <w:adjustRightInd w:val="0"/>
        <w:spacing w:after="0" w:line="240" w:lineRule="auto"/>
        <w:rPr>
          <w:rFonts w:ascii="Arial" w:hAnsi="Arial" w:cs="Arial"/>
          <w:bCs/>
          <w:sz w:val="20"/>
          <w:szCs w:val="20"/>
        </w:rPr>
      </w:pPr>
      <w:r>
        <w:rPr>
          <w:rFonts w:ascii="Arial" w:hAnsi="Arial" w:cs="Arial"/>
          <w:bCs/>
          <w:sz w:val="20"/>
          <w:szCs w:val="20"/>
        </w:rPr>
        <w:t>Alexandre Teixeira</w:t>
      </w:r>
    </w:p>
    <w:p w14:paraId="7846CB69" w14:textId="77777777" w:rsidR="005C0ED2" w:rsidRDefault="005C0ED2" w:rsidP="005C0ED2">
      <w:pPr>
        <w:autoSpaceDE w:val="0"/>
        <w:autoSpaceDN w:val="0"/>
        <w:adjustRightInd w:val="0"/>
        <w:spacing w:after="0" w:line="240" w:lineRule="auto"/>
        <w:rPr>
          <w:rFonts w:ascii="Arial" w:hAnsi="Arial" w:cs="Arial"/>
          <w:bCs/>
          <w:sz w:val="20"/>
          <w:szCs w:val="20"/>
        </w:rPr>
      </w:pPr>
      <w:r>
        <w:rPr>
          <w:rFonts w:ascii="Arial" w:hAnsi="Arial" w:cs="Arial"/>
          <w:bCs/>
          <w:sz w:val="20"/>
          <w:szCs w:val="20"/>
        </w:rPr>
        <w:t>Dejanira Freitas Braga</w:t>
      </w:r>
    </w:p>
    <w:p w14:paraId="4EF67F18" w14:textId="77777777" w:rsidR="005C0ED2" w:rsidRPr="004B12BD" w:rsidRDefault="005C0ED2" w:rsidP="005C0ED2">
      <w:pPr>
        <w:autoSpaceDE w:val="0"/>
        <w:autoSpaceDN w:val="0"/>
        <w:adjustRightInd w:val="0"/>
        <w:spacing w:after="0" w:line="240" w:lineRule="auto"/>
        <w:rPr>
          <w:rFonts w:ascii="Arial" w:hAnsi="Arial" w:cs="Arial"/>
          <w:bCs/>
          <w:sz w:val="20"/>
          <w:szCs w:val="20"/>
        </w:rPr>
      </w:pPr>
      <w:r>
        <w:rPr>
          <w:rFonts w:ascii="Arial" w:hAnsi="Arial" w:cs="Arial"/>
          <w:bCs/>
          <w:sz w:val="20"/>
          <w:szCs w:val="20"/>
        </w:rPr>
        <w:t>Aníbal Rivani Moura</w:t>
      </w:r>
    </w:p>
    <w:p w14:paraId="23378AA3" w14:textId="77777777" w:rsidR="00107452" w:rsidRDefault="00107452" w:rsidP="004C2DCF">
      <w:pPr>
        <w:autoSpaceDE w:val="0"/>
        <w:autoSpaceDN w:val="0"/>
        <w:adjustRightInd w:val="0"/>
        <w:spacing w:after="0" w:line="240" w:lineRule="auto"/>
        <w:rPr>
          <w:rFonts w:ascii="Arial" w:hAnsi="Arial" w:cs="Arial"/>
          <w:b/>
          <w:bCs/>
        </w:rPr>
      </w:pPr>
    </w:p>
    <w:p w14:paraId="7228A950" w14:textId="62D238AC" w:rsidR="004C2DCF" w:rsidRPr="003E32EB" w:rsidRDefault="004C2DCF" w:rsidP="004C2DCF">
      <w:pPr>
        <w:autoSpaceDE w:val="0"/>
        <w:autoSpaceDN w:val="0"/>
        <w:adjustRightInd w:val="0"/>
        <w:spacing w:after="0" w:line="240" w:lineRule="auto"/>
        <w:rPr>
          <w:rFonts w:ascii="Arial" w:hAnsi="Arial" w:cs="Arial"/>
          <w:b/>
          <w:bCs/>
        </w:rPr>
      </w:pPr>
      <w:r w:rsidRPr="003E32EB">
        <w:rPr>
          <w:rFonts w:ascii="Arial" w:hAnsi="Arial" w:cs="Arial"/>
          <w:b/>
          <w:bCs/>
        </w:rPr>
        <w:t>D</w:t>
      </w:r>
      <w:r w:rsidR="004D4C6E" w:rsidRPr="003E32EB">
        <w:rPr>
          <w:rFonts w:ascii="Arial" w:hAnsi="Arial" w:cs="Arial"/>
          <w:b/>
          <w:bCs/>
        </w:rPr>
        <w:t>iretoria</w:t>
      </w:r>
      <w:r w:rsidRPr="003E32EB">
        <w:rPr>
          <w:rFonts w:ascii="Arial" w:hAnsi="Arial" w:cs="Arial"/>
          <w:b/>
          <w:bCs/>
        </w:rPr>
        <w:t xml:space="preserve"> </w:t>
      </w:r>
      <w:r w:rsidR="004D4C6E" w:rsidRPr="003E32EB">
        <w:rPr>
          <w:rFonts w:ascii="Arial" w:hAnsi="Arial" w:cs="Arial"/>
          <w:b/>
          <w:bCs/>
        </w:rPr>
        <w:t>de</w:t>
      </w:r>
      <w:r w:rsidRPr="003E32EB">
        <w:rPr>
          <w:rFonts w:ascii="Arial" w:hAnsi="Arial" w:cs="Arial"/>
          <w:b/>
          <w:bCs/>
        </w:rPr>
        <w:t xml:space="preserve"> E</w:t>
      </w:r>
      <w:r w:rsidR="004D4C6E" w:rsidRPr="003E32EB">
        <w:rPr>
          <w:rFonts w:ascii="Arial" w:hAnsi="Arial" w:cs="Arial"/>
          <w:b/>
          <w:bCs/>
        </w:rPr>
        <w:t>studos</w:t>
      </w:r>
      <w:r w:rsidRPr="003E32EB">
        <w:rPr>
          <w:rFonts w:ascii="Arial" w:hAnsi="Arial" w:cs="Arial"/>
          <w:b/>
          <w:bCs/>
        </w:rPr>
        <w:t xml:space="preserve"> T</w:t>
      </w:r>
      <w:r w:rsidR="004D4C6E" w:rsidRPr="003E32EB">
        <w:rPr>
          <w:rFonts w:ascii="Arial" w:hAnsi="Arial" w:cs="Arial"/>
          <w:b/>
          <w:bCs/>
        </w:rPr>
        <w:t>écnicos</w:t>
      </w:r>
    </w:p>
    <w:p w14:paraId="7228A951" w14:textId="77777777" w:rsidR="004C2DCF" w:rsidRPr="003E32EB" w:rsidRDefault="004C2DCF" w:rsidP="004C2DCF">
      <w:pPr>
        <w:autoSpaceDE w:val="0"/>
        <w:autoSpaceDN w:val="0"/>
        <w:adjustRightInd w:val="0"/>
        <w:spacing w:after="0" w:line="240" w:lineRule="auto"/>
        <w:rPr>
          <w:rFonts w:ascii="Arial" w:hAnsi="Arial" w:cs="Arial"/>
          <w:b/>
          <w:bCs/>
        </w:rPr>
      </w:pPr>
    </w:p>
    <w:p w14:paraId="7228A953" w14:textId="77777777" w:rsidR="004C2DCF" w:rsidRPr="000D1990" w:rsidRDefault="004C2DCF" w:rsidP="004C2DCF">
      <w:pPr>
        <w:autoSpaceDE w:val="0"/>
        <w:autoSpaceDN w:val="0"/>
        <w:adjustRightInd w:val="0"/>
        <w:spacing w:after="0" w:line="240" w:lineRule="auto"/>
        <w:rPr>
          <w:rFonts w:ascii="Arial" w:hAnsi="Arial" w:cs="Arial"/>
          <w:b/>
          <w:bCs/>
          <w:sz w:val="20"/>
          <w:szCs w:val="20"/>
        </w:rPr>
      </w:pPr>
      <w:r w:rsidRPr="000D1990">
        <w:rPr>
          <w:rFonts w:ascii="Arial" w:hAnsi="Arial" w:cs="Arial"/>
          <w:b/>
          <w:bCs/>
          <w:sz w:val="20"/>
          <w:szCs w:val="20"/>
        </w:rPr>
        <w:t>Diretor de Estudos Técnicos</w:t>
      </w:r>
    </w:p>
    <w:p w14:paraId="44775E08" w14:textId="77777777" w:rsidR="00D435F5" w:rsidRPr="000D1990" w:rsidRDefault="00D435F5" w:rsidP="00D435F5">
      <w:pPr>
        <w:spacing w:after="0" w:line="240" w:lineRule="auto"/>
        <w:rPr>
          <w:rFonts w:ascii="Arial" w:hAnsi="Arial" w:cs="Arial"/>
          <w:sz w:val="20"/>
          <w:szCs w:val="20"/>
        </w:rPr>
      </w:pPr>
      <w:r w:rsidRPr="000D1990">
        <w:rPr>
          <w:rFonts w:ascii="Arial" w:hAnsi="Arial" w:cs="Arial"/>
          <w:sz w:val="20"/>
          <w:szCs w:val="20"/>
          <w:shd w:val="clear" w:color="auto" w:fill="FFFFFF"/>
        </w:rPr>
        <w:t>Gabriel Rissato Leite Ribeiro</w:t>
      </w:r>
    </w:p>
    <w:p w14:paraId="7228A956" w14:textId="1609CBB5" w:rsidR="004C2DCF" w:rsidRPr="001B71E4" w:rsidRDefault="004C2DCF" w:rsidP="002D5358">
      <w:pPr>
        <w:autoSpaceDE w:val="0"/>
        <w:autoSpaceDN w:val="0"/>
        <w:adjustRightInd w:val="0"/>
        <w:spacing w:after="0" w:line="240" w:lineRule="auto"/>
        <w:rPr>
          <w:rFonts w:ascii="Arial" w:hAnsi="Arial" w:cs="Arial"/>
          <w:sz w:val="20"/>
          <w:szCs w:val="20"/>
        </w:rPr>
      </w:pPr>
      <w:r w:rsidRPr="001B71E4">
        <w:rPr>
          <w:rFonts w:ascii="Arial" w:hAnsi="Arial" w:cs="Arial"/>
          <w:b/>
          <w:bCs/>
          <w:sz w:val="20"/>
          <w:szCs w:val="20"/>
        </w:rPr>
        <w:t>Diretor-Adjunto de Estudos Técnicos</w:t>
      </w:r>
    </w:p>
    <w:p w14:paraId="5D441FE4" w14:textId="0B360DB6" w:rsidR="00D435F5" w:rsidRPr="00D435F5" w:rsidRDefault="00D435F5" w:rsidP="00D435F5">
      <w:pPr>
        <w:spacing w:after="0" w:line="240" w:lineRule="auto"/>
        <w:rPr>
          <w:rFonts w:ascii="Arial" w:hAnsi="Arial" w:cs="Arial"/>
          <w:sz w:val="20"/>
          <w:szCs w:val="20"/>
        </w:rPr>
      </w:pPr>
      <w:r w:rsidRPr="000D1990">
        <w:rPr>
          <w:rFonts w:ascii="Arial" w:hAnsi="Arial" w:cs="Arial"/>
          <w:sz w:val="20"/>
          <w:szCs w:val="20"/>
          <w:shd w:val="clear" w:color="auto" w:fill="FFFFFF"/>
        </w:rPr>
        <w:t>Marcelo Lettieri Siqueira</w:t>
      </w:r>
    </w:p>
    <w:p w14:paraId="7228A957" w14:textId="01B0233A" w:rsidR="004C2DCF" w:rsidRPr="001B71E4" w:rsidRDefault="004C2DCF" w:rsidP="004C2DCF">
      <w:pPr>
        <w:spacing w:after="0" w:line="240" w:lineRule="auto"/>
        <w:jc w:val="both"/>
        <w:rPr>
          <w:rFonts w:ascii="Arial" w:hAnsi="Arial" w:cs="Arial"/>
          <w:sz w:val="20"/>
          <w:szCs w:val="20"/>
        </w:rPr>
      </w:pPr>
      <w:r w:rsidRPr="001B71E4">
        <w:rPr>
          <w:rFonts w:ascii="Arial" w:hAnsi="Arial" w:cs="Arial"/>
          <w:b/>
          <w:sz w:val="20"/>
          <w:szCs w:val="20"/>
        </w:rPr>
        <w:t>Equipe Técnica</w:t>
      </w:r>
      <w:r w:rsidRPr="001B71E4">
        <w:rPr>
          <w:rFonts w:ascii="Arial" w:hAnsi="Arial" w:cs="Arial"/>
          <w:sz w:val="20"/>
          <w:szCs w:val="20"/>
        </w:rPr>
        <w:t>:</w:t>
      </w:r>
    </w:p>
    <w:p w14:paraId="7228A95A" w14:textId="77777777" w:rsidR="004C2DCF" w:rsidRPr="001B71E4" w:rsidRDefault="004C2DCF" w:rsidP="004C2DCF">
      <w:pPr>
        <w:spacing w:after="0" w:line="240" w:lineRule="auto"/>
        <w:jc w:val="both"/>
        <w:rPr>
          <w:rFonts w:ascii="Arial" w:hAnsi="Arial" w:cs="Arial"/>
          <w:sz w:val="20"/>
          <w:szCs w:val="20"/>
        </w:rPr>
      </w:pPr>
      <w:r w:rsidRPr="001B71E4">
        <w:rPr>
          <w:rFonts w:ascii="Arial" w:hAnsi="Arial" w:cs="Arial"/>
          <w:sz w:val="20"/>
          <w:szCs w:val="20"/>
        </w:rPr>
        <w:t>Alexandre Rodriguez Alves Coelho</w:t>
      </w:r>
    </w:p>
    <w:p w14:paraId="48DCF691" w14:textId="7D6C5907" w:rsidR="0061311C" w:rsidRPr="003E32EB" w:rsidRDefault="004C2DCF" w:rsidP="004C2DCF">
      <w:pPr>
        <w:spacing w:after="0" w:line="240" w:lineRule="auto"/>
        <w:jc w:val="both"/>
        <w:rPr>
          <w:rFonts w:ascii="Arial" w:hAnsi="Arial" w:cs="Arial"/>
          <w:sz w:val="20"/>
          <w:szCs w:val="20"/>
        </w:rPr>
      </w:pPr>
      <w:r w:rsidRPr="003E32EB">
        <w:rPr>
          <w:rFonts w:ascii="Arial" w:hAnsi="Arial" w:cs="Arial"/>
          <w:sz w:val="20"/>
          <w:szCs w:val="20"/>
        </w:rPr>
        <w:t xml:space="preserve">Economista, Assessor Técnico Especializado </w:t>
      </w:r>
      <w:r w:rsidR="003C2F5F" w:rsidRPr="003E32EB">
        <w:rPr>
          <w:rFonts w:ascii="Arial" w:hAnsi="Arial" w:cs="Arial"/>
          <w:sz w:val="20"/>
          <w:szCs w:val="20"/>
        </w:rPr>
        <w:t>Sênior</w:t>
      </w:r>
    </w:p>
    <w:p w14:paraId="77FA782F" w14:textId="3F3DE53B" w:rsidR="0061311C" w:rsidRPr="003E32EB" w:rsidRDefault="0061311C" w:rsidP="004C2DCF">
      <w:pPr>
        <w:spacing w:after="0" w:line="240" w:lineRule="auto"/>
        <w:jc w:val="both"/>
        <w:rPr>
          <w:rFonts w:ascii="Arial" w:hAnsi="Arial" w:cs="Arial"/>
          <w:sz w:val="20"/>
          <w:szCs w:val="20"/>
        </w:rPr>
      </w:pPr>
      <w:r w:rsidRPr="003E32EB">
        <w:rPr>
          <w:rFonts w:ascii="Arial" w:hAnsi="Arial" w:cs="Arial"/>
          <w:sz w:val="20"/>
          <w:szCs w:val="20"/>
        </w:rPr>
        <w:t xml:space="preserve">Juliana </w:t>
      </w:r>
      <w:r w:rsidR="00E6351C" w:rsidRPr="003E32EB">
        <w:rPr>
          <w:rFonts w:ascii="Arial" w:hAnsi="Arial" w:cs="Arial"/>
          <w:sz w:val="20"/>
          <w:szCs w:val="20"/>
        </w:rPr>
        <w:t xml:space="preserve">de Fátima </w:t>
      </w:r>
      <w:r w:rsidRPr="003E32EB">
        <w:rPr>
          <w:rFonts w:ascii="Arial" w:hAnsi="Arial" w:cs="Arial"/>
          <w:sz w:val="20"/>
          <w:szCs w:val="20"/>
        </w:rPr>
        <w:t>Ribeiro Mota</w:t>
      </w:r>
    </w:p>
    <w:p w14:paraId="2CC44176" w14:textId="3D3ABB1C" w:rsidR="0061311C" w:rsidRPr="003E32EB" w:rsidRDefault="00331291" w:rsidP="000B5252">
      <w:pPr>
        <w:spacing w:after="0" w:line="240" w:lineRule="auto"/>
        <w:rPr>
          <w:rFonts w:ascii="Arial" w:hAnsi="Arial" w:cs="Arial"/>
          <w:sz w:val="20"/>
          <w:szCs w:val="20"/>
        </w:rPr>
      </w:pPr>
      <w:r w:rsidRPr="003E32EB">
        <w:rPr>
          <w:rFonts w:ascii="Arial" w:hAnsi="Arial" w:cs="Arial"/>
          <w:sz w:val="20"/>
          <w:szCs w:val="20"/>
        </w:rPr>
        <w:t>Administradora</w:t>
      </w:r>
      <w:r w:rsidR="00C41459">
        <w:rPr>
          <w:rFonts w:ascii="Arial" w:hAnsi="Arial" w:cs="Arial"/>
          <w:sz w:val="20"/>
          <w:szCs w:val="20"/>
        </w:rPr>
        <w:t xml:space="preserve"> e Contadora</w:t>
      </w:r>
      <w:r w:rsidRPr="003E32EB">
        <w:rPr>
          <w:rFonts w:ascii="Arial" w:hAnsi="Arial" w:cs="Arial"/>
          <w:sz w:val="20"/>
          <w:szCs w:val="20"/>
        </w:rPr>
        <w:t xml:space="preserve">, </w:t>
      </w:r>
      <w:r w:rsidR="0061311C" w:rsidRPr="003E32EB">
        <w:rPr>
          <w:rFonts w:ascii="Arial" w:hAnsi="Arial" w:cs="Arial"/>
          <w:sz w:val="20"/>
          <w:szCs w:val="20"/>
        </w:rPr>
        <w:t>Assessor</w:t>
      </w:r>
      <w:r w:rsidR="006D50D1" w:rsidRPr="003E32EB">
        <w:rPr>
          <w:rFonts w:ascii="Arial" w:hAnsi="Arial" w:cs="Arial"/>
          <w:sz w:val="20"/>
          <w:szCs w:val="20"/>
        </w:rPr>
        <w:t>a</w:t>
      </w:r>
      <w:r w:rsidR="0061311C" w:rsidRPr="003E32EB">
        <w:rPr>
          <w:rFonts w:ascii="Arial" w:hAnsi="Arial" w:cs="Arial"/>
          <w:sz w:val="20"/>
          <w:szCs w:val="20"/>
        </w:rPr>
        <w:t xml:space="preserve"> Técnic</w:t>
      </w:r>
      <w:r w:rsidR="006D50D1" w:rsidRPr="003E32EB">
        <w:rPr>
          <w:rFonts w:ascii="Arial" w:hAnsi="Arial" w:cs="Arial"/>
          <w:sz w:val="20"/>
          <w:szCs w:val="20"/>
        </w:rPr>
        <w:t>a</w:t>
      </w:r>
      <w:r w:rsidR="0061311C" w:rsidRPr="003E32EB">
        <w:rPr>
          <w:rFonts w:ascii="Arial" w:hAnsi="Arial" w:cs="Arial"/>
          <w:sz w:val="20"/>
          <w:szCs w:val="20"/>
        </w:rPr>
        <w:t xml:space="preserve"> Especializad</w:t>
      </w:r>
      <w:r w:rsidR="006D50D1" w:rsidRPr="003E32EB">
        <w:rPr>
          <w:rFonts w:ascii="Arial" w:hAnsi="Arial" w:cs="Arial"/>
          <w:sz w:val="20"/>
          <w:szCs w:val="20"/>
        </w:rPr>
        <w:t>a</w:t>
      </w:r>
      <w:r w:rsidR="0061311C" w:rsidRPr="003E32EB">
        <w:rPr>
          <w:rFonts w:ascii="Arial" w:hAnsi="Arial" w:cs="Arial"/>
          <w:sz w:val="20"/>
          <w:szCs w:val="20"/>
        </w:rPr>
        <w:t xml:space="preserve"> Pleno</w:t>
      </w:r>
    </w:p>
    <w:p w14:paraId="7228A95C" w14:textId="77777777" w:rsidR="004C2DCF" w:rsidRPr="003E32EB" w:rsidRDefault="004C2DCF" w:rsidP="000B5252">
      <w:pPr>
        <w:spacing w:after="0" w:line="240" w:lineRule="auto"/>
        <w:rPr>
          <w:rFonts w:ascii="Arial" w:hAnsi="Arial" w:cs="Arial"/>
          <w:sz w:val="20"/>
          <w:szCs w:val="20"/>
        </w:rPr>
      </w:pPr>
    </w:p>
    <w:p w14:paraId="7228A95D" w14:textId="77777777" w:rsidR="004C2DCF" w:rsidRPr="003E32EB" w:rsidRDefault="004C2DCF" w:rsidP="004C2DCF">
      <w:pPr>
        <w:spacing w:after="0" w:line="240" w:lineRule="auto"/>
        <w:jc w:val="both"/>
        <w:rPr>
          <w:rFonts w:ascii="Arial" w:hAnsi="Arial" w:cs="Arial"/>
          <w:sz w:val="20"/>
          <w:szCs w:val="20"/>
        </w:rPr>
      </w:pPr>
    </w:p>
    <w:p w14:paraId="7228A95E" w14:textId="77777777" w:rsidR="004C2DCF" w:rsidRDefault="004C2DCF" w:rsidP="004C2DCF">
      <w:pPr>
        <w:spacing w:after="0" w:line="240" w:lineRule="auto"/>
        <w:jc w:val="both"/>
        <w:rPr>
          <w:rFonts w:ascii="Arial" w:hAnsi="Arial" w:cs="Arial"/>
          <w:sz w:val="20"/>
          <w:szCs w:val="20"/>
        </w:rPr>
      </w:pPr>
    </w:p>
    <w:p w14:paraId="6A8022B1" w14:textId="77777777" w:rsidR="00D24CEE" w:rsidRDefault="00D24CEE" w:rsidP="004C2DCF">
      <w:pPr>
        <w:spacing w:after="0" w:line="240" w:lineRule="auto"/>
        <w:jc w:val="both"/>
        <w:rPr>
          <w:rFonts w:ascii="Arial" w:hAnsi="Arial" w:cs="Arial"/>
          <w:sz w:val="20"/>
          <w:szCs w:val="20"/>
        </w:rPr>
      </w:pPr>
    </w:p>
    <w:p w14:paraId="679C7A01" w14:textId="77777777" w:rsidR="00D24CEE" w:rsidRDefault="00D24CEE" w:rsidP="004C2DCF">
      <w:pPr>
        <w:spacing w:after="0" w:line="240" w:lineRule="auto"/>
        <w:jc w:val="both"/>
        <w:rPr>
          <w:rFonts w:ascii="Arial" w:hAnsi="Arial" w:cs="Arial"/>
          <w:sz w:val="20"/>
          <w:szCs w:val="20"/>
        </w:rPr>
      </w:pPr>
    </w:p>
    <w:p w14:paraId="46FFB56B" w14:textId="77777777" w:rsidR="00D24CEE" w:rsidRDefault="00D24CEE" w:rsidP="004C2DCF">
      <w:pPr>
        <w:spacing w:after="0" w:line="240" w:lineRule="auto"/>
        <w:jc w:val="both"/>
        <w:rPr>
          <w:rFonts w:ascii="Arial" w:hAnsi="Arial" w:cs="Arial"/>
          <w:sz w:val="20"/>
          <w:szCs w:val="20"/>
        </w:rPr>
      </w:pPr>
    </w:p>
    <w:p w14:paraId="7228A960" w14:textId="77777777" w:rsidR="004C2DCF" w:rsidRPr="00A15A45" w:rsidRDefault="004C2DCF" w:rsidP="004C2DCF">
      <w:pPr>
        <w:spacing w:after="0" w:line="240" w:lineRule="auto"/>
        <w:jc w:val="both"/>
        <w:rPr>
          <w:rFonts w:ascii="Arial" w:hAnsi="Arial" w:cs="Arial"/>
          <w:sz w:val="20"/>
          <w:szCs w:val="20"/>
        </w:rPr>
      </w:pPr>
    </w:p>
    <w:p w14:paraId="7228A961" w14:textId="55A2379F" w:rsidR="004C2DCF" w:rsidRDefault="00B02C23" w:rsidP="004C2DCF">
      <w:pPr>
        <w:spacing w:after="0" w:line="240" w:lineRule="auto"/>
        <w:jc w:val="both"/>
        <w:rPr>
          <w:rFonts w:ascii="Trebuchet MS" w:hAnsi="Trebuchet MS"/>
        </w:rPr>
      </w:pPr>
      <w:r>
        <w:rPr>
          <w:noProof/>
        </w:rPr>
        <w:drawing>
          <wp:inline distT="0" distB="0" distL="0" distR="0" wp14:anchorId="11CC01FE" wp14:editId="4C75A596">
            <wp:extent cx="2834640" cy="1010920"/>
            <wp:effectExtent l="0" t="0" r="3810" b="0"/>
            <wp:docPr id="3" name="Imagem 3"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um círculo&#10;&#10;Descrição gerada automaticamente com confiança bai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1010920"/>
                    </a:xfrm>
                    <a:prstGeom prst="rect">
                      <a:avLst/>
                    </a:prstGeom>
                    <a:noFill/>
                    <a:ln>
                      <a:noFill/>
                    </a:ln>
                  </pic:spPr>
                </pic:pic>
              </a:graphicData>
            </a:graphic>
          </wp:inline>
        </w:drawing>
      </w:r>
    </w:p>
    <w:p w14:paraId="7228A962" w14:textId="77777777" w:rsidR="004C2DCF" w:rsidRDefault="004C2DCF" w:rsidP="004C2DCF">
      <w:pPr>
        <w:spacing w:after="0" w:line="240" w:lineRule="auto"/>
        <w:jc w:val="both"/>
        <w:rPr>
          <w:rFonts w:ascii="Arial" w:hAnsi="Arial" w:cs="Arial"/>
          <w:sz w:val="20"/>
          <w:szCs w:val="20"/>
        </w:rPr>
      </w:pPr>
      <w:r>
        <w:rPr>
          <w:rFonts w:ascii="Arial" w:hAnsi="Arial" w:cs="Arial"/>
          <w:b/>
          <w:sz w:val="20"/>
          <w:szCs w:val="20"/>
        </w:rPr>
        <w:t>Sindicato Nacional dos Auditores-Fiscais da Receita Federal do Brasil</w:t>
      </w:r>
    </w:p>
    <w:p w14:paraId="7228A963" w14:textId="77777777" w:rsidR="004C2DCF" w:rsidRDefault="004C2DCF" w:rsidP="004C2DCF">
      <w:pPr>
        <w:autoSpaceDE w:val="0"/>
        <w:autoSpaceDN w:val="0"/>
        <w:adjustRightInd w:val="0"/>
        <w:spacing w:after="0" w:line="240" w:lineRule="auto"/>
        <w:rPr>
          <w:rFonts w:ascii="Arial" w:hAnsi="Arial" w:cs="Arial"/>
          <w:sz w:val="20"/>
          <w:szCs w:val="20"/>
        </w:rPr>
      </w:pPr>
      <w:r>
        <w:rPr>
          <w:rFonts w:ascii="Arial" w:hAnsi="Arial" w:cs="Arial"/>
          <w:sz w:val="20"/>
          <w:szCs w:val="20"/>
        </w:rPr>
        <w:t>SDS - Conjunto Baracat - 1º andar - salas 1 a 11 Brasília/DF - CEP 70392-900</w:t>
      </w:r>
    </w:p>
    <w:p w14:paraId="7228A964" w14:textId="77777777" w:rsidR="004C2DCF" w:rsidRDefault="004C2DCF" w:rsidP="004C2DCF">
      <w:pPr>
        <w:autoSpaceDE w:val="0"/>
        <w:autoSpaceDN w:val="0"/>
        <w:adjustRightInd w:val="0"/>
        <w:spacing w:after="0" w:line="240" w:lineRule="auto"/>
        <w:rPr>
          <w:rFonts w:ascii="Arial" w:hAnsi="Arial" w:cs="Arial"/>
          <w:sz w:val="20"/>
          <w:szCs w:val="20"/>
        </w:rPr>
      </w:pPr>
      <w:r>
        <w:rPr>
          <w:rFonts w:ascii="Arial" w:hAnsi="Arial" w:cs="Arial"/>
          <w:sz w:val="20"/>
          <w:szCs w:val="20"/>
        </w:rPr>
        <w:t>Fone (61) 3218 5200 - Fax (61) 3218 5201</w:t>
      </w:r>
    </w:p>
    <w:p w14:paraId="7228A965" w14:textId="77777777" w:rsidR="004C2DCF" w:rsidRDefault="004C2DCF" w:rsidP="004C2DC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www.sindifisconacional.org.br </w:t>
      </w:r>
    </w:p>
    <w:p w14:paraId="7228A966" w14:textId="77777777" w:rsidR="004C2DCF" w:rsidRDefault="004C2DCF" w:rsidP="004C2DCF">
      <w:pPr>
        <w:autoSpaceDE w:val="0"/>
        <w:autoSpaceDN w:val="0"/>
        <w:adjustRightInd w:val="0"/>
        <w:spacing w:after="0" w:line="240" w:lineRule="auto"/>
        <w:rPr>
          <w:rFonts w:ascii="Arial" w:hAnsi="Arial" w:cs="Arial"/>
          <w:b/>
          <w:bCs/>
          <w:sz w:val="20"/>
          <w:szCs w:val="20"/>
        </w:rPr>
      </w:pPr>
      <w:r>
        <w:rPr>
          <w:rFonts w:ascii="Arial" w:hAnsi="Arial" w:cs="Arial"/>
          <w:bCs/>
          <w:sz w:val="20"/>
          <w:szCs w:val="20"/>
        </w:rPr>
        <w:t xml:space="preserve">e-mail: </w:t>
      </w:r>
      <w:hyperlink r:id="rId15" w:history="1">
        <w:r w:rsidRPr="00D450F4">
          <w:rPr>
            <w:rStyle w:val="Hyperlink"/>
            <w:rFonts w:ascii="Arial" w:hAnsi="Arial" w:cs="Arial"/>
            <w:bCs/>
            <w:sz w:val="20"/>
            <w:szCs w:val="20"/>
          </w:rPr>
          <w:t>estudostecnicos@sindifisconacional.org.br</w:t>
        </w:r>
      </w:hyperlink>
      <w:r>
        <w:rPr>
          <w:rFonts w:ascii="Arial" w:hAnsi="Arial" w:cs="Arial"/>
          <w:bCs/>
          <w:sz w:val="20"/>
          <w:szCs w:val="20"/>
        </w:rPr>
        <w:t xml:space="preserve"> </w:t>
      </w:r>
    </w:p>
    <w:p w14:paraId="7228A967" w14:textId="77777777" w:rsidR="004C2DCF" w:rsidRDefault="004C2DCF" w:rsidP="004C2DCF">
      <w:pPr>
        <w:autoSpaceDE w:val="0"/>
        <w:autoSpaceDN w:val="0"/>
        <w:adjustRightInd w:val="0"/>
        <w:spacing w:after="0" w:line="240" w:lineRule="auto"/>
        <w:rPr>
          <w:rFonts w:ascii="Arial" w:hAnsi="Arial" w:cs="Arial"/>
          <w:b/>
          <w:bCs/>
          <w:sz w:val="20"/>
          <w:szCs w:val="20"/>
        </w:rPr>
      </w:pPr>
    </w:p>
    <w:p w14:paraId="7228A968" w14:textId="77777777" w:rsidR="004C2DCF" w:rsidRDefault="004C2DCF" w:rsidP="004C2DCF">
      <w:pPr>
        <w:spacing w:after="0" w:line="240" w:lineRule="auto"/>
        <w:jc w:val="both"/>
        <w:rPr>
          <w:rFonts w:ascii="Arial" w:hAnsi="Arial" w:cs="Arial"/>
          <w:b/>
          <w:bCs/>
          <w:sz w:val="20"/>
          <w:szCs w:val="20"/>
        </w:rPr>
      </w:pPr>
      <w:r>
        <w:rPr>
          <w:rFonts w:ascii="Arial" w:hAnsi="Arial" w:cs="Arial"/>
          <w:b/>
          <w:bCs/>
          <w:sz w:val="20"/>
          <w:szCs w:val="20"/>
        </w:rPr>
        <w:t>É permitida a reprodução deste texto e dos dados nele contidos, desde que citada a fonte</w:t>
      </w:r>
    </w:p>
    <w:p w14:paraId="7228A969" w14:textId="77777777" w:rsidR="004C2DCF" w:rsidRDefault="004C2DCF" w:rsidP="004C2DCF">
      <w:pPr>
        <w:jc w:val="both"/>
        <w:rPr>
          <w:rFonts w:ascii="Arial" w:hAnsi="Arial" w:cs="Arial"/>
          <w:b/>
          <w:bCs/>
          <w:sz w:val="20"/>
          <w:szCs w:val="20"/>
        </w:rPr>
      </w:pPr>
    </w:p>
    <w:p w14:paraId="7228A96A" w14:textId="77777777" w:rsidR="00A54786" w:rsidRPr="00A54786" w:rsidRDefault="00A54786" w:rsidP="00A54786">
      <w:pPr>
        <w:spacing w:after="0" w:line="240" w:lineRule="auto"/>
        <w:jc w:val="both"/>
        <w:rPr>
          <w:rFonts w:ascii="Arial" w:hAnsi="Arial" w:cs="Arial"/>
          <w:b/>
          <w:bCs/>
          <w:sz w:val="20"/>
          <w:szCs w:val="20"/>
        </w:rPr>
      </w:pPr>
    </w:p>
    <w:p w14:paraId="7228A96C" w14:textId="77777777" w:rsidR="009C5192" w:rsidRDefault="009C5192" w:rsidP="004E5EF8">
      <w:pPr>
        <w:jc w:val="both"/>
        <w:rPr>
          <w:rFonts w:ascii="Trebuchet MS" w:hAnsi="Trebuchet MS"/>
        </w:rPr>
        <w:sectPr w:rsidR="009C5192">
          <w:headerReference w:type="default" r:id="rId16"/>
          <w:footerReference w:type="even" r:id="rId17"/>
          <w:footerReference w:type="default" r:id="rId18"/>
          <w:pgSz w:w="11906" w:h="16838"/>
          <w:pgMar w:top="1134" w:right="1134" w:bottom="1134" w:left="1134" w:header="709" w:footer="709" w:gutter="0"/>
          <w:cols w:num="2" w:space="709"/>
          <w:titlePg/>
          <w:docGrid w:linePitch="360"/>
        </w:sectPr>
      </w:pPr>
    </w:p>
    <w:p w14:paraId="0DA5B5F2" w14:textId="77777777" w:rsidR="00A454A7" w:rsidRDefault="00A454A7" w:rsidP="00BE1AD0">
      <w:pPr>
        <w:spacing w:before="120" w:after="120" w:line="240" w:lineRule="auto"/>
        <w:rPr>
          <w:rFonts w:ascii="Arial" w:hAnsi="Arial" w:cs="Arial"/>
          <w:b/>
          <w:sz w:val="24"/>
          <w:szCs w:val="24"/>
        </w:rPr>
      </w:pPr>
    </w:p>
    <w:p w14:paraId="677A3554" w14:textId="75F13BBF" w:rsidR="00A454A7" w:rsidRDefault="00A454A7" w:rsidP="00A454A7">
      <w:pPr>
        <w:jc w:val="center"/>
        <w:rPr>
          <w:rFonts w:ascii="Arial" w:hAnsi="Arial" w:cs="Arial"/>
          <w:b/>
          <w:sz w:val="28"/>
          <w:szCs w:val="28"/>
        </w:rPr>
      </w:pPr>
      <w:r w:rsidRPr="006D27A0">
        <w:rPr>
          <w:rFonts w:ascii="Arial" w:hAnsi="Arial" w:cs="Arial"/>
          <w:b/>
          <w:sz w:val="28"/>
          <w:szCs w:val="28"/>
        </w:rPr>
        <w:t xml:space="preserve">Análise </w:t>
      </w:r>
      <w:r w:rsidR="00427089">
        <w:rPr>
          <w:rFonts w:ascii="Arial" w:hAnsi="Arial" w:cs="Arial"/>
          <w:b/>
          <w:sz w:val="28"/>
          <w:szCs w:val="28"/>
        </w:rPr>
        <w:t>da</w:t>
      </w:r>
      <w:r w:rsidR="00A11563">
        <w:rPr>
          <w:rFonts w:ascii="Arial" w:hAnsi="Arial" w:cs="Arial"/>
          <w:b/>
          <w:sz w:val="28"/>
          <w:szCs w:val="28"/>
        </w:rPr>
        <w:t>s</w:t>
      </w:r>
      <w:r w:rsidR="00427089">
        <w:rPr>
          <w:rFonts w:ascii="Arial" w:hAnsi="Arial" w:cs="Arial"/>
          <w:b/>
          <w:sz w:val="28"/>
          <w:szCs w:val="28"/>
        </w:rPr>
        <w:t xml:space="preserve"> Alteraç</w:t>
      </w:r>
      <w:r w:rsidR="00A11563">
        <w:rPr>
          <w:rFonts w:ascii="Arial" w:hAnsi="Arial" w:cs="Arial"/>
          <w:b/>
          <w:sz w:val="28"/>
          <w:szCs w:val="28"/>
        </w:rPr>
        <w:t>ões</w:t>
      </w:r>
      <w:r w:rsidR="00427089">
        <w:rPr>
          <w:rFonts w:ascii="Arial" w:hAnsi="Arial" w:cs="Arial"/>
          <w:b/>
          <w:sz w:val="28"/>
          <w:szCs w:val="28"/>
        </w:rPr>
        <w:t xml:space="preserve"> da Tabela</w:t>
      </w:r>
      <w:r w:rsidR="008650B0">
        <w:rPr>
          <w:rFonts w:ascii="Arial" w:hAnsi="Arial" w:cs="Arial"/>
          <w:b/>
          <w:sz w:val="28"/>
          <w:szCs w:val="28"/>
        </w:rPr>
        <w:t xml:space="preserve"> do IRPF</w:t>
      </w:r>
    </w:p>
    <w:p w14:paraId="0995190F" w14:textId="77777777" w:rsidR="00A3121D" w:rsidRDefault="00A3121D" w:rsidP="00A454A7">
      <w:pPr>
        <w:jc w:val="center"/>
        <w:rPr>
          <w:rFonts w:ascii="Arial" w:hAnsi="Arial" w:cs="Arial"/>
          <w:b/>
          <w:sz w:val="28"/>
          <w:szCs w:val="28"/>
        </w:rPr>
      </w:pPr>
    </w:p>
    <w:p w14:paraId="48C6EA8B" w14:textId="22FFB4F0" w:rsidR="0038702B" w:rsidRDefault="00E741DC" w:rsidP="00A42521">
      <w:pPr>
        <w:jc w:val="center"/>
        <w:rPr>
          <w:rFonts w:ascii="Arial" w:hAnsi="Arial" w:cs="Arial"/>
          <w:b/>
          <w:sz w:val="28"/>
          <w:szCs w:val="28"/>
        </w:rPr>
      </w:pPr>
      <w:r w:rsidRPr="00F27129">
        <w:rPr>
          <w:noProof/>
        </w:rPr>
        <w:drawing>
          <wp:inline distT="0" distB="0" distL="0" distR="0" wp14:anchorId="4522D1EC" wp14:editId="57BAE7E0">
            <wp:extent cx="9719597" cy="2796362"/>
            <wp:effectExtent l="0" t="0" r="0" b="4445"/>
            <wp:docPr id="208373235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40233" cy="2802299"/>
                    </a:xfrm>
                    <a:prstGeom prst="rect">
                      <a:avLst/>
                    </a:prstGeom>
                    <a:noFill/>
                    <a:ln>
                      <a:noFill/>
                    </a:ln>
                  </pic:spPr>
                </pic:pic>
              </a:graphicData>
            </a:graphic>
          </wp:inline>
        </w:drawing>
      </w:r>
    </w:p>
    <w:p w14:paraId="2A23058C" w14:textId="77777777" w:rsidR="00C52421" w:rsidRDefault="00C52421" w:rsidP="00AD75EC">
      <w:pPr>
        <w:jc w:val="both"/>
        <w:rPr>
          <w:rFonts w:ascii="Arial" w:hAnsi="Arial" w:cs="Arial"/>
        </w:rPr>
      </w:pPr>
    </w:p>
    <w:p w14:paraId="265BDE3D" w14:textId="77777777" w:rsidR="00C52421" w:rsidRDefault="00C52421" w:rsidP="00AD75EC">
      <w:pPr>
        <w:jc w:val="both"/>
        <w:rPr>
          <w:rFonts w:ascii="Arial" w:hAnsi="Arial" w:cs="Arial"/>
        </w:rPr>
      </w:pPr>
    </w:p>
    <w:p w14:paraId="4378A2B7" w14:textId="77777777" w:rsidR="00C52421" w:rsidRDefault="00C52421" w:rsidP="00AD75EC">
      <w:pPr>
        <w:jc w:val="both"/>
        <w:rPr>
          <w:rFonts w:ascii="Arial" w:hAnsi="Arial" w:cs="Arial"/>
        </w:rPr>
      </w:pPr>
    </w:p>
    <w:p w14:paraId="58A98FE5" w14:textId="77777777" w:rsidR="00C52421" w:rsidRDefault="00C52421" w:rsidP="00AD75EC">
      <w:pPr>
        <w:jc w:val="both"/>
        <w:rPr>
          <w:rFonts w:ascii="Arial" w:hAnsi="Arial" w:cs="Arial"/>
        </w:rPr>
      </w:pPr>
    </w:p>
    <w:p w14:paraId="780D6D29" w14:textId="77777777" w:rsidR="00C52421" w:rsidRDefault="00C52421" w:rsidP="00AD75EC">
      <w:pPr>
        <w:jc w:val="both"/>
        <w:rPr>
          <w:rFonts w:ascii="Arial" w:hAnsi="Arial" w:cs="Arial"/>
        </w:rPr>
      </w:pPr>
    </w:p>
    <w:p w14:paraId="48558D84" w14:textId="77777777" w:rsidR="00C52421" w:rsidRDefault="00C52421" w:rsidP="00AD75EC">
      <w:pPr>
        <w:jc w:val="both"/>
        <w:rPr>
          <w:rFonts w:ascii="Arial" w:hAnsi="Arial" w:cs="Arial"/>
        </w:rPr>
      </w:pPr>
    </w:p>
    <w:p w14:paraId="103D2ED3" w14:textId="77777777" w:rsidR="008B5FF5" w:rsidRDefault="008B5FF5" w:rsidP="00AD75EC">
      <w:pPr>
        <w:jc w:val="both"/>
        <w:rPr>
          <w:rFonts w:ascii="Arial" w:hAnsi="Arial" w:cs="Arial"/>
        </w:rPr>
        <w:sectPr w:rsidR="008B5FF5" w:rsidSect="008B5FF5">
          <w:headerReference w:type="default" r:id="rId20"/>
          <w:footerReference w:type="default" r:id="rId21"/>
          <w:pgSz w:w="16838" w:h="11906" w:orient="landscape"/>
          <w:pgMar w:top="1701" w:right="1134" w:bottom="1418" w:left="709" w:header="567" w:footer="567" w:gutter="0"/>
          <w:cols w:space="708"/>
          <w:docGrid w:linePitch="360"/>
        </w:sectPr>
      </w:pPr>
    </w:p>
    <w:p w14:paraId="38C26176" w14:textId="3621C37E" w:rsidR="00AD75EC" w:rsidRPr="00980D46" w:rsidRDefault="00AD75EC" w:rsidP="00AD75EC">
      <w:pPr>
        <w:jc w:val="both"/>
        <w:rPr>
          <w:rFonts w:ascii="Arial" w:hAnsi="Arial" w:cs="Arial"/>
        </w:rPr>
      </w:pPr>
      <w:r w:rsidRPr="00980D46">
        <w:rPr>
          <w:rFonts w:ascii="Arial" w:hAnsi="Arial" w:cs="Arial"/>
        </w:rPr>
        <w:t xml:space="preserve">A tabela apresentada refere-se à proposta de reforma tributária baseada na renda para o ano-calendário de 2024, elaborada pelo Departamento de Estudos Técnicos do Sindifisco Nacional, com dados provenientes da Receita Federal do Brasil. A proposta busca isentar integralmente os contribuintes que recebem rendimentos brutos </w:t>
      </w:r>
      <w:r>
        <w:rPr>
          <w:rFonts w:ascii="Arial" w:hAnsi="Arial" w:cs="Arial"/>
        </w:rPr>
        <w:t xml:space="preserve">mensais </w:t>
      </w:r>
      <w:r w:rsidRPr="00980D46">
        <w:rPr>
          <w:rFonts w:ascii="Arial" w:hAnsi="Arial" w:cs="Arial"/>
        </w:rPr>
        <w:t>de até R$ 5.000,00 e desonerar, de forma significativa, aqueles que ganham entre R$ 5.000,01 e R$ 7.</w:t>
      </w:r>
      <w:r>
        <w:rPr>
          <w:rFonts w:ascii="Arial" w:hAnsi="Arial" w:cs="Arial"/>
        </w:rPr>
        <w:t>0</w:t>
      </w:r>
      <w:r w:rsidRPr="00980D46">
        <w:rPr>
          <w:rFonts w:ascii="Arial" w:hAnsi="Arial" w:cs="Arial"/>
        </w:rPr>
        <w:t>00,00. Para isso, foi introduzida uma dedução padrão que ajusta as alíquotas efetivas em todas as faixas de renda afetadas, resultando em alíquotas progressivas que variam de 0% a 11,72%, ainda que as alíquotas legais permaneçam entre 0% e 27,5%. Estima-se que a medida beneficiará cerca de 16,</w:t>
      </w:r>
      <w:r>
        <w:rPr>
          <w:rFonts w:ascii="Arial" w:hAnsi="Arial" w:cs="Arial"/>
        </w:rPr>
        <w:t>1</w:t>
      </w:r>
      <w:r w:rsidRPr="00980D46">
        <w:rPr>
          <w:rFonts w:ascii="Arial" w:hAnsi="Arial" w:cs="Arial"/>
        </w:rPr>
        <w:t xml:space="preserve"> milhões de contribuintes, com destaque para as faixas de renda de até R$ 5.000,00, onde os beneficiários seriam integralmente isentos.</w:t>
      </w:r>
      <w:r w:rsidRPr="003352B3">
        <w:rPr>
          <w:rFonts w:ascii="Arial" w:hAnsi="Arial" w:cs="Arial"/>
        </w:rPr>
        <w:t xml:space="preserve"> Para valores entre R$ 5.000 a R$ 7.</w:t>
      </w:r>
      <w:r>
        <w:rPr>
          <w:rFonts w:ascii="Arial" w:hAnsi="Arial" w:cs="Arial"/>
        </w:rPr>
        <w:t>000</w:t>
      </w:r>
      <w:r w:rsidRPr="003352B3">
        <w:rPr>
          <w:rFonts w:ascii="Arial" w:hAnsi="Arial" w:cs="Arial"/>
        </w:rPr>
        <w:t>, o benefício vai decrescendo gradativamente até zero. Quem recebe mais de R$ 7.</w:t>
      </w:r>
      <w:r>
        <w:rPr>
          <w:rFonts w:ascii="Arial" w:hAnsi="Arial" w:cs="Arial"/>
        </w:rPr>
        <w:t>0</w:t>
      </w:r>
      <w:r w:rsidRPr="003352B3">
        <w:rPr>
          <w:rFonts w:ascii="Arial" w:hAnsi="Arial" w:cs="Arial"/>
        </w:rPr>
        <w:t>00 estará sujeito à tabela vigente e, portanto, não sofrerá impacto da proposta.</w:t>
      </w:r>
    </w:p>
    <w:p w14:paraId="436CD0A1" w14:textId="18FE8D60" w:rsidR="008B5FF5" w:rsidRDefault="00AD75EC" w:rsidP="00AD75EC">
      <w:pPr>
        <w:jc w:val="both"/>
        <w:rPr>
          <w:rFonts w:ascii="Arial" w:hAnsi="Arial" w:cs="Arial"/>
        </w:rPr>
      </w:pPr>
      <w:r w:rsidRPr="00980D46">
        <w:rPr>
          <w:rFonts w:ascii="Arial" w:hAnsi="Arial" w:cs="Arial"/>
        </w:rPr>
        <w:t>Adicionalmente, a tabela detalha o impacto financeiro da medida, indicando que o valor total das deduções alcançará</w:t>
      </w:r>
      <w:r w:rsidR="00286E62">
        <w:rPr>
          <w:rFonts w:ascii="Arial" w:hAnsi="Arial" w:cs="Arial"/>
        </w:rPr>
        <w:t>,</w:t>
      </w:r>
      <w:r w:rsidRPr="00980D46">
        <w:rPr>
          <w:rFonts w:ascii="Arial" w:hAnsi="Arial" w:cs="Arial"/>
        </w:rPr>
        <w:t xml:space="preserve"> aproximadamente</w:t>
      </w:r>
      <w:r w:rsidR="00286E62">
        <w:rPr>
          <w:rFonts w:ascii="Arial" w:hAnsi="Arial" w:cs="Arial"/>
        </w:rPr>
        <w:t>,</w:t>
      </w:r>
      <w:r w:rsidRPr="00980D46">
        <w:rPr>
          <w:rFonts w:ascii="Arial" w:hAnsi="Arial" w:cs="Arial"/>
        </w:rPr>
        <w:t xml:space="preserve"> R$ 1</w:t>
      </w:r>
      <w:r>
        <w:rPr>
          <w:rFonts w:ascii="Arial" w:hAnsi="Arial" w:cs="Arial"/>
        </w:rPr>
        <w:t>7</w:t>
      </w:r>
      <w:r w:rsidRPr="00980D46">
        <w:rPr>
          <w:rFonts w:ascii="Arial" w:hAnsi="Arial" w:cs="Arial"/>
        </w:rPr>
        <w:t>1,</w:t>
      </w:r>
      <w:r>
        <w:rPr>
          <w:rFonts w:ascii="Arial" w:hAnsi="Arial" w:cs="Arial"/>
        </w:rPr>
        <w:t>1</w:t>
      </w:r>
      <w:r w:rsidRPr="00980D46">
        <w:rPr>
          <w:rFonts w:ascii="Arial" w:hAnsi="Arial" w:cs="Arial"/>
        </w:rPr>
        <w:t xml:space="preserve"> bilhões no ano, gerando um impacto fiscal estimado de R$ 35,5 bilhões na arrecadação federal. Essas deduções são distribuídas proporcionalmente às faixas de renda, com valores per capita que aumentam até o limite da isenção e caem gradativamente nas faixas superiores. A medida, ao promover a desoneração de rendas mais baixas, reflete o esforço para aumentar a progressividade do sistema tributário brasileiro, reduzindo a carga fiscal sobre as camadas da população com menor capacidade contributiva. A análise reforça que a implementação da proposta contribuirá para um sistema tributário mais justo e equilibrado</w:t>
      </w:r>
      <w:r w:rsidRPr="003352B3">
        <w:rPr>
          <w:rFonts w:ascii="Arial" w:hAnsi="Arial" w:cs="Arial"/>
        </w:rPr>
        <w:t>.</w:t>
      </w:r>
    </w:p>
    <w:p w14:paraId="6C2D5878" w14:textId="77777777" w:rsidR="008B5FF5" w:rsidRPr="003352B3" w:rsidRDefault="008B5FF5" w:rsidP="00AD75EC">
      <w:pPr>
        <w:jc w:val="both"/>
        <w:rPr>
          <w:rFonts w:ascii="Arial" w:hAnsi="Arial" w:cs="Arial"/>
        </w:rPr>
      </w:pPr>
    </w:p>
    <w:tbl>
      <w:tblPr>
        <w:tblW w:w="8372" w:type="dxa"/>
        <w:tblInd w:w="70" w:type="dxa"/>
        <w:tblCellMar>
          <w:left w:w="70" w:type="dxa"/>
          <w:right w:w="70" w:type="dxa"/>
        </w:tblCellMar>
        <w:tblLook w:val="04A0" w:firstRow="1" w:lastRow="0" w:firstColumn="1" w:lastColumn="0" w:noHBand="0" w:noVBand="1"/>
      </w:tblPr>
      <w:tblGrid>
        <w:gridCol w:w="1239"/>
        <w:gridCol w:w="986"/>
        <w:gridCol w:w="2471"/>
        <w:gridCol w:w="1165"/>
        <w:gridCol w:w="2365"/>
        <w:gridCol w:w="146"/>
      </w:tblGrid>
      <w:tr w:rsidR="00C51DCF" w:rsidRPr="00980D46" w14:paraId="4C887235" w14:textId="77777777" w:rsidTr="00CC10A3">
        <w:trPr>
          <w:gridAfter w:val="1"/>
          <w:trHeight w:val="245"/>
        </w:trPr>
        <w:tc>
          <w:tcPr>
            <w:tcW w:w="0" w:type="auto"/>
            <w:tcBorders>
              <w:top w:val="nil"/>
              <w:left w:val="nil"/>
              <w:bottom w:val="nil"/>
              <w:right w:val="nil"/>
            </w:tcBorders>
            <w:shd w:val="clear" w:color="000000" w:fill="FFFFFF"/>
            <w:noWrap/>
            <w:vAlign w:val="bottom"/>
            <w:hideMark/>
          </w:tcPr>
          <w:p w14:paraId="2C62F97A"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Tabela 1</w:t>
            </w:r>
          </w:p>
        </w:tc>
        <w:tc>
          <w:tcPr>
            <w:tcW w:w="0" w:type="auto"/>
            <w:tcBorders>
              <w:top w:val="nil"/>
              <w:left w:val="nil"/>
              <w:bottom w:val="nil"/>
              <w:right w:val="nil"/>
            </w:tcBorders>
            <w:shd w:val="clear" w:color="000000" w:fill="FFFFFF"/>
            <w:noWrap/>
            <w:vAlign w:val="bottom"/>
            <w:hideMark/>
          </w:tcPr>
          <w:p w14:paraId="6C09810E"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 </w:t>
            </w:r>
          </w:p>
        </w:tc>
        <w:tc>
          <w:tcPr>
            <w:tcW w:w="0" w:type="auto"/>
            <w:tcBorders>
              <w:top w:val="nil"/>
              <w:left w:val="nil"/>
              <w:bottom w:val="nil"/>
              <w:right w:val="nil"/>
            </w:tcBorders>
            <w:shd w:val="clear" w:color="000000" w:fill="FFFFFF"/>
            <w:noWrap/>
            <w:vAlign w:val="bottom"/>
            <w:hideMark/>
          </w:tcPr>
          <w:p w14:paraId="43A8D7B8"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 </w:t>
            </w:r>
          </w:p>
        </w:tc>
        <w:tc>
          <w:tcPr>
            <w:tcW w:w="0" w:type="auto"/>
            <w:tcBorders>
              <w:top w:val="nil"/>
              <w:left w:val="nil"/>
              <w:bottom w:val="nil"/>
              <w:right w:val="nil"/>
            </w:tcBorders>
            <w:shd w:val="clear" w:color="000000" w:fill="FFFFFF"/>
            <w:noWrap/>
            <w:vAlign w:val="bottom"/>
            <w:hideMark/>
          </w:tcPr>
          <w:p w14:paraId="3F687B65"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 </w:t>
            </w:r>
          </w:p>
        </w:tc>
        <w:tc>
          <w:tcPr>
            <w:tcW w:w="0" w:type="auto"/>
            <w:tcBorders>
              <w:top w:val="nil"/>
              <w:left w:val="nil"/>
              <w:bottom w:val="nil"/>
              <w:right w:val="nil"/>
            </w:tcBorders>
            <w:shd w:val="clear" w:color="000000" w:fill="FFFFFF"/>
            <w:noWrap/>
            <w:vAlign w:val="bottom"/>
            <w:hideMark/>
          </w:tcPr>
          <w:p w14:paraId="2652AB75"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 </w:t>
            </w:r>
          </w:p>
        </w:tc>
      </w:tr>
      <w:tr w:rsidR="00C51DCF" w:rsidRPr="00980D46" w14:paraId="6998850D" w14:textId="77777777" w:rsidTr="00CC10A3">
        <w:trPr>
          <w:gridAfter w:val="1"/>
          <w:trHeight w:val="245"/>
        </w:trPr>
        <w:tc>
          <w:tcPr>
            <w:tcW w:w="0" w:type="auto"/>
            <w:gridSpan w:val="5"/>
            <w:tcBorders>
              <w:top w:val="nil"/>
              <w:left w:val="nil"/>
              <w:bottom w:val="nil"/>
              <w:right w:val="nil"/>
            </w:tcBorders>
            <w:shd w:val="clear" w:color="000000" w:fill="FFFFFF"/>
            <w:noWrap/>
            <w:vAlign w:val="bottom"/>
            <w:hideMark/>
          </w:tcPr>
          <w:p w14:paraId="299238C4"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Resíduos na Correção da Tabela do Imposto de Renda pelo IPCA</w:t>
            </w:r>
          </w:p>
        </w:tc>
      </w:tr>
      <w:tr w:rsidR="00C51DCF" w:rsidRPr="00980D46" w14:paraId="2351099C" w14:textId="77777777" w:rsidTr="00CC10A3">
        <w:trPr>
          <w:gridAfter w:val="1"/>
          <w:trHeight w:val="254"/>
        </w:trPr>
        <w:tc>
          <w:tcPr>
            <w:tcW w:w="0" w:type="auto"/>
            <w:tcBorders>
              <w:top w:val="nil"/>
              <w:left w:val="nil"/>
              <w:bottom w:val="nil"/>
              <w:right w:val="nil"/>
            </w:tcBorders>
            <w:shd w:val="clear" w:color="000000" w:fill="FFFFFF"/>
            <w:noWrap/>
            <w:vAlign w:val="bottom"/>
            <w:hideMark/>
          </w:tcPr>
          <w:p w14:paraId="1B35395D"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1996-</w:t>
            </w:r>
          </w:p>
        </w:tc>
        <w:tc>
          <w:tcPr>
            <w:tcW w:w="0" w:type="auto"/>
            <w:tcBorders>
              <w:top w:val="nil"/>
              <w:left w:val="nil"/>
              <w:bottom w:val="nil"/>
              <w:right w:val="nil"/>
            </w:tcBorders>
            <w:shd w:val="clear" w:color="000000" w:fill="FFFFFF"/>
            <w:noWrap/>
            <w:vAlign w:val="bottom"/>
            <w:hideMark/>
          </w:tcPr>
          <w:p w14:paraId="63E65F01"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 </w:t>
            </w:r>
          </w:p>
        </w:tc>
        <w:tc>
          <w:tcPr>
            <w:tcW w:w="0" w:type="auto"/>
            <w:tcBorders>
              <w:top w:val="nil"/>
              <w:left w:val="nil"/>
              <w:bottom w:val="nil"/>
              <w:right w:val="nil"/>
            </w:tcBorders>
            <w:shd w:val="clear" w:color="000000" w:fill="FFFFFF"/>
            <w:noWrap/>
            <w:vAlign w:val="bottom"/>
            <w:hideMark/>
          </w:tcPr>
          <w:p w14:paraId="17D78860"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 </w:t>
            </w:r>
          </w:p>
        </w:tc>
        <w:tc>
          <w:tcPr>
            <w:tcW w:w="0" w:type="auto"/>
            <w:tcBorders>
              <w:top w:val="nil"/>
              <w:left w:val="nil"/>
              <w:bottom w:val="nil"/>
              <w:right w:val="nil"/>
            </w:tcBorders>
            <w:shd w:val="clear" w:color="000000" w:fill="FFFFFF"/>
            <w:noWrap/>
            <w:vAlign w:val="bottom"/>
            <w:hideMark/>
          </w:tcPr>
          <w:p w14:paraId="42978AA4" w14:textId="77777777" w:rsidR="00C51DCF" w:rsidRPr="00980D46" w:rsidRDefault="00C51DCF" w:rsidP="00CC10A3">
            <w:pPr>
              <w:spacing w:after="0" w:line="240" w:lineRule="auto"/>
              <w:rPr>
                <w:rFonts w:ascii="Arial" w:hAnsi="Arial" w:cs="Arial"/>
                <w:sz w:val="24"/>
                <w:szCs w:val="24"/>
              </w:rPr>
            </w:pPr>
            <w:r w:rsidRPr="00980D46">
              <w:rPr>
                <w:rFonts w:ascii="Arial" w:hAnsi="Arial" w:cs="Arial"/>
                <w:sz w:val="24"/>
                <w:szCs w:val="24"/>
              </w:rPr>
              <w:t> </w:t>
            </w:r>
          </w:p>
        </w:tc>
        <w:tc>
          <w:tcPr>
            <w:tcW w:w="0" w:type="auto"/>
            <w:tcBorders>
              <w:top w:val="nil"/>
              <w:left w:val="nil"/>
              <w:bottom w:val="nil"/>
              <w:right w:val="nil"/>
            </w:tcBorders>
            <w:shd w:val="clear" w:color="000000" w:fill="FFFFFF"/>
            <w:noWrap/>
            <w:vAlign w:val="bottom"/>
            <w:hideMark/>
          </w:tcPr>
          <w:p w14:paraId="4AAE7F28" w14:textId="77777777" w:rsidR="00C51DCF" w:rsidRPr="00980D46" w:rsidRDefault="00C51DCF" w:rsidP="00CC10A3">
            <w:pPr>
              <w:spacing w:after="0" w:line="240" w:lineRule="auto"/>
              <w:jc w:val="center"/>
              <w:rPr>
                <w:rFonts w:ascii="Aptos Narrow" w:hAnsi="Aptos Narrow"/>
                <w:color w:val="000000"/>
              </w:rPr>
            </w:pPr>
            <w:r w:rsidRPr="00980D46">
              <w:rPr>
                <w:rFonts w:ascii="Aptos Narrow" w:hAnsi="Aptos Narrow"/>
                <w:color w:val="000000"/>
              </w:rPr>
              <w:t>Em %</w:t>
            </w:r>
          </w:p>
        </w:tc>
      </w:tr>
      <w:tr w:rsidR="00C51DCF" w:rsidRPr="00980D46" w14:paraId="1406B227" w14:textId="77777777" w:rsidTr="00CC10A3">
        <w:trPr>
          <w:gridAfter w:val="1"/>
          <w:trHeight w:val="482"/>
        </w:trPr>
        <w:tc>
          <w:tcPr>
            <w:tcW w:w="0" w:type="auto"/>
            <w:tcBorders>
              <w:top w:val="double" w:sz="6" w:space="0" w:color="auto"/>
              <w:left w:val="nil"/>
              <w:bottom w:val="single" w:sz="4" w:space="0" w:color="auto"/>
              <w:right w:val="single" w:sz="4" w:space="0" w:color="auto"/>
            </w:tcBorders>
            <w:shd w:val="clear" w:color="000000" w:fill="FFFFFF"/>
            <w:vAlign w:val="center"/>
            <w:hideMark/>
          </w:tcPr>
          <w:p w14:paraId="76EA649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Períodos</w:t>
            </w:r>
          </w:p>
        </w:tc>
        <w:tc>
          <w:tcPr>
            <w:tcW w:w="0" w:type="auto"/>
            <w:tcBorders>
              <w:top w:val="double" w:sz="6" w:space="0" w:color="auto"/>
              <w:left w:val="nil"/>
              <w:bottom w:val="single" w:sz="4" w:space="0" w:color="auto"/>
              <w:right w:val="single" w:sz="4" w:space="0" w:color="auto"/>
            </w:tcBorders>
            <w:shd w:val="clear" w:color="000000" w:fill="FFFFFF"/>
            <w:vAlign w:val="center"/>
            <w:hideMark/>
          </w:tcPr>
          <w:p w14:paraId="1922A4B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IPCA</w:t>
            </w:r>
          </w:p>
        </w:tc>
        <w:tc>
          <w:tcPr>
            <w:tcW w:w="0" w:type="auto"/>
            <w:tcBorders>
              <w:top w:val="double" w:sz="6" w:space="0" w:color="auto"/>
              <w:left w:val="nil"/>
              <w:bottom w:val="single" w:sz="4" w:space="0" w:color="auto"/>
              <w:right w:val="single" w:sz="4" w:space="0" w:color="auto"/>
            </w:tcBorders>
            <w:shd w:val="clear" w:color="000000" w:fill="FFFFFF"/>
            <w:vAlign w:val="center"/>
            <w:hideMark/>
          </w:tcPr>
          <w:p w14:paraId="6114E30E"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Correção da Tabela</w:t>
            </w:r>
          </w:p>
        </w:tc>
        <w:tc>
          <w:tcPr>
            <w:tcW w:w="0" w:type="auto"/>
            <w:tcBorders>
              <w:top w:val="double" w:sz="6" w:space="0" w:color="auto"/>
              <w:left w:val="nil"/>
              <w:bottom w:val="single" w:sz="4" w:space="0" w:color="auto"/>
              <w:right w:val="nil"/>
            </w:tcBorders>
            <w:shd w:val="clear" w:color="000000" w:fill="FFFFFF"/>
            <w:vAlign w:val="center"/>
            <w:hideMark/>
          </w:tcPr>
          <w:p w14:paraId="7957783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Resíduo</w:t>
            </w:r>
          </w:p>
        </w:tc>
        <w:tc>
          <w:tcPr>
            <w:tcW w:w="0" w:type="auto"/>
            <w:tcBorders>
              <w:top w:val="double" w:sz="6" w:space="0" w:color="auto"/>
              <w:left w:val="single" w:sz="4" w:space="0" w:color="auto"/>
              <w:bottom w:val="single" w:sz="4" w:space="0" w:color="auto"/>
              <w:right w:val="nil"/>
            </w:tcBorders>
            <w:shd w:val="clear" w:color="000000" w:fill="FFFFFF"/>
            <w:vAlign w:val="center"/>
            <w:hideMark/>
          </w:tcPr>
          <w:p w14:paraId="2BAC821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Resíduo Acumulado</w:t>
            </w:r>
          </w:p>
        </w:tc>
      </w:tr>
      <w:tr w:rsidR="00C51DCF" w:rsidRPr="00980D46" w14:paraId="2E2D8E04" w14:textId="77777777" w:rsidTr="00CC10A3">
        <w:trPr>
          <w:gridAfter w:val="1"/>
          <w:trHeight w:val="245"/>
        </w:trPr>
        <w:tc>
          <w:tcPr>
            <w:tcW w:w="0" w:type="auto"/>
            <w:tcBorders>
              <w:top w:val="nil"/>
              <w:left w:val="nil"/>
              <w:bottom w:val="nil"/>
              <w:right w:val="nil"/>
            </w:tcBorders>
            <w:shd w:val="clear" w:color="000000" w:fill="FFFFFF"/>
            <w:vAlign w:val="center"/>
            <w:hideMark/>
          </w:tcPr>
          <w:p w14:paraId="5FED2BD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1996</w:t>
            </w:r>
          </w:p>
        </w:tc>
        <w:tc>
          <w:tcPr>
            <w:tcW w:w="0" w:type="auto"/>
            <w:tcBorders>
              <w:top w:val="nil"/>
              <w:left w:val="nil"/>
              <w:bottom w:val="nil"/>
              <w:right w:val="nil"/>
            </w:tcBorders>
            <w:shd w:val="clear" w:color="000000" w:fill="FFFFFF"/>
            <w:vAlign w:val="bottom"/>
            <w:hideMark/>
          </w:tcPr>
          <w:p w14:paraId="28B73D8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9,56</w:t>
            </w:r>
          </w:p>
        </w:tc>
        <w:tc>
          <w:tcPr>
            <w:tcW w:w="0" w:type="auto"/>
            <w:tcBorders>
              <w:top w:val="nil"/>
              <w:left w:val="nil"/>
              <w:bottom w:val="nil"/>
              <w:right w:val="nil"/>
            </w:tcBorders>
            <w:shd w:val="clear" w:color="000000" w:fill="FFFFFF"/>
            <w:noWrap/>
            <w:vAlign w:val="bottom"/>
            <w:hideMark/>
          </w:tcPr>
          <w:p w14:paraId="18C14CC0"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w:t>
            </w:r>
          </w:p>
        </w:tc>
        <w:tc>
          <w:tcPr>
            <w:tcW w:w="0" w:type="auto"/>
            <w:tcBorders>
              <w:top w:val="nil"/>
              <w:left w:val="nil"/>
              <w:bottom w:val="nil"/>
              <w:right w:val="nil"/>
            </w:tcBorders>
            <w:shd w:val="clear" w:color="000000" w:fill="FFFFFF"/>
            <w:vAlign w:val="center"/>
            <w:hideMark/>
          </w:tcPr>
          <w:p w14:paraId="4AAA254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9,56</w:t>
            </w:r>
          </w:p>
        </w:tc>
        <w:tc>
          <w:tcPr>
            <w:tcW w:w="0" w:type="auto"/>
            <w:tcBorders>
              <w:top w:val="nil"/>
              <w:left w:val="nil"/>
              <w:bottom w:val="nil"/>
              <w:right w:val="nil"/>
            </w:tcBorders>
            <w:shd w:val="clear" w:color="000000" w:fill="FFFFFF"/>
            <w:vAlign w:val="center"/>
            <w:hideMark/>
          </w:tcPr>
          <w:p w14:paraId="7C644810"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9,56</w:t>
            </w:r>
          </w:p>
        </w:tc>
      </w:tr>
      <w:tr w:rsidR="00C51DCF" w:rsidRPr="00980D46" w14:paraId="7223698A" w14:textId="77777777" w:rsidTr="00CC10A3">
        <w:trPr>
          <w:gridAfter w:val="1"/>
          <w:trHeight w:val="245"/>
        </w:trPr>
        <w:tc>
          <w:tcPr>
            <w:tcW w:w="0" w:type="auto"/>
            <w:tcBorders>
              <w:top w:val="nil"/>
              <w:left w:val="nil"/>
              <w:bottom w:val="nil"/>
              <w:right w:val="nil"/>
            </w:tcBorders>
            <w:shd w:val="clear" w:color="000000" w:fill="FFFFFF"/>
            <w:vAlign w:val="center"/>
            <w:hideMark/>
          </w:tcPr>
          <w:p w14:paraId="24AE013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1997</w:t>
            </w:r>
          </w:p>
        </w:tc>
        <w:tc>
          <w:tcPr>
            <w:tcW w:w="0" w:type="auto"/>
            <w:tcBorders>
              <w:top w:val="nil"/>
              <w:left w:val="nil"/>
              <w:bottom w:val="nil"/>
              <w:right w:val="nil"/>
            </w:tcBorders>
            <w:shd w:val="clear" w:color="000000" w:fill="FFFFFF"/>
            <w:vAlign w:val="bottom"/>
            <w:hideMark/>
          </w:tcPr>
          <w:p w14:paraId="4270E1E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5,22</w:t>
            </w:r>
          </w:p>
        </w:tc>
        <w:tc>
          <w:tcPr>
            <w:tcW w:w="0" w:type="auto"/>
            <w:tcBorders>
              <w:top w:val="nil"/>
              <w:left w:val="nil"/>
              <w:bottom w:val="nil"/>
              <w:right w:val="nil"/>
            </w:tcBorders>
            <w:shd w:val="clear" w:color="000000" w:fill="FFFFFF"/>
            <w:noWrap/>
            <w:vAlign w:val="bottom"/>
            <w:hideMark/>
          </w:tcPr>
          <w:p w14:paraId="7F968B9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w:t>
            </w:r>
          </w:p>
        </w:tc>
        <w:tc>
          <w:tcPr>
            <w:tcW w:w="0" w:type="auto"/>
            <w:tcBorders>
              <w:top w:val="nil"/>
              <w:left w:val="nil"/>
              <w:bottom w:val="nil"/>
              <w:right w:val="nil"/>
            </w:tcBorders>
            <w:shd w:val="clear" w:color="000000" w:fill="FFFFFF"/>
            <w:vAlign w:val="center"/>
            <w:hideMark/>
          </w:tcPr>
          <w:p w14:paraId="4D752C2A"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5,22</w:t>
            </w:r>
          </w:p>
        </w:tc>
        <w:tc>
          <w:tcPr>
            <w:tcW w:w="0" w:type="auto"/>
            <w:tcBorders>
              <w:top w:val="nil"/>
              <w:left w:val="nil"/>
              <w:bottom w:val="nil"/>
              <w:right w:val="nil"/>
            </w:tcBorders>
            <w:shd w:val="clear" w:color="000000" w:fill="FFFFFF"/>
            <w:noWrap/>
            <w:vAlign w:val="bottom"/>
            <w:hideMark/>
          </w:tcPr>
          <w:p w14:paraId="232C361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15,28</w:t>
            </w:r>
          </w:p>
        </w:tc>
      </w:tr>
      <w:tr w:rsidR="00C51DCF" w:rsidRPr="00980D46" w14:paraId="080B954C" w14:textId="77777777" w:rsidTr="00CC10A3">
        <w:trPr>
          <w:gridAfter w:val="1"/>
          <w:trHeight w:val="245"/>
        </w:trPr>
        <w:tc>
          <w:tcPr>
            <w:tcW w:w="0" w:type="auto"/>
            <w:tcBorders>
              <w:top w:val="nil"/>
              <w:left w:val="nil"/>
              <w:bottom w:val="nil"/>
              <w:right w:val="nil"/>
            </w:tcBorders>
            <w:shd w:val="clear" w:color="000000" w:fill="FFFFFF"/>
            <w:vAlign w:val="center"/>
            <w:hideMark/>
          </w:tcPr>
          <w:p w14:paraId="5394CFE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1998</w:t>
            </w:r>
          </w:p>
        </w:tc>
        <w:tc>
          <w:tcPr>
            <w:tcW w:w="0" w:type="auto"/>
            <w:tcBorders>
              <w:top w:val="nil"/>
              <w:left w:val="nil"/>
              <w:bottom w:val="nil"/>
              <w:right w:val="nil"/>
            </w:tcBorders>
            <w:shd w:val="clear" w:color="000000" w:fill="FFFFFF"/>
            <w:vAlign w:val="bottom"/>
            <w:hideMark/>
          </w:tcPr>
          <w:p w14:paraId="0EF821F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1,66</w:t>
            </w:r>
          </w:p>
        </w:tc>
        <w:tc>
          <w:tcPr>
            <w:tcW w:w="0" w:type="auto"/>
            <w:tcBorders>
              <w:top w:val="nil"/>
              <w:left w:val="nil"/>
              <w:bottom w:val="nil"/>
              <w:right w:val="nil"/>
            </w:tcBorders>
            <w:shd w:val="clear" w:color="000000" w:fill="FFFFFF"/>
            <w:noWrap/>
            <w:vAlign w:val="bottom"/>
            <w:hideMark/>
          </w:tcPr>
          <w:p w14:paraId="603AD24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w:t>
            </w:r>
          </w:p>
        </w:tc>
        <w:tc>
          <w:tcPr>
            <w:tcW w:w="0" w:type="auto"/>
            <w:tcBorders>
              <w:top w:val="nil"/>
              <w:left w:val="nil"/>
              <w:bottom w:val="nil"/>
              <w:right w:val="nil"/>
            </w:tcBorders>
            <w:shd w:val="clear" w:color="000000" w:fill="FFFFFF"/>
            <w:vAlign w:val="center"/>
            <w:hideMark/>
          </w:tcPr>
          <w:p w14:paraId="4BA28CD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1,66</w:t>
            </w:r>
          </w:p>
        </w:tc>
        <w:tc>
          <w:tcPr>
            <w:tcW w:w="0" w:type="auto"/>
            <w:tcBorders>
              <w:top w:val="nil"/>
              <w:left w:val="nil"/>
              <w:bottom w:val="nil"/>
              <w:right w:val="nil"/>
            </w:tcBorders>
            <w:shd w:val="clear" w:color="000000" w:fill="FFFFFF"/>
            <w:noWrap/>
            <w:vAlign w:val="bottom"/>
            <w:hideMark/>
          </w:tcPr>
          <w:p w14:paraId="36020F2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17,19</w:t>
            </w:r>
          </w:p>
        </w:tc>
      </w:tr>
      <w:tr w:rsidR="00C51DCF" w:rsidRPr="00980D46" w14:paraId="7FA69D30" w14:textId="77777777" w:rsidTr="00CC10A3">
        <w:trPr>
          <w:gridAfter w:val="1"/>
          <w:trHeight w:val="245"/>
        </w:trPr>
        <w:tc>
          <w:tcPr>
            <w:tcW w:w="0" w:type="auto"/>
            <w:tcBorders>
              <w:top w:val="nil"/>
              <w:left w:val="nil"/>
              <w:bottom w:val="nil"/>
              <w:right w:val="nil"/>
            </w:tcBorders>
            <w:shd w:val="clear" w:color="000000" w:fill="FFFFFF"/>
            <w:vAlign w:val="center"/>
            <w:hideMark/>
          </w:tcPr>
          <w:p w14:paraId="3F6B477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1999</w:t>
            </w:r>
          </w:p>
        </w:tc>
        <w:tc>
          <w:tcPr>
            <w:tcW w:w="0" w:type="auto"/>
            <w:tcBorders>
              <w:top w:val="nil"/>
              <w:left w:val="nil"/>
              <w:bottom w:val="nil"/>
              <w:right w:val="nil"/>
            </w:tcBorders>
            <w:shd w:val="clear" w:color="000000" w:fill="FFFFFF"/>
            <w:vAlign w:val="bottom"/>
            <w:hideMark/>
          </w:tcPr>
          <w:p w14:paraId="11A0BB2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8,94</w:t>
            </w:r>
          </w:p>
        </w:tc>
        <w:tc>
          <w:tcPr>
            <w:tcW w:w="0" w:type="auto"/>
            <w:tcBorders>
              <w:top w:val="nil"/>
              <w:left w:val="nil"/>
              <w:bottom w:val="nil"/>
              <w:right w:val="nil"/>
            </w:tcBorders>
            <w:shd w:val="clear" w:color="000000" w:fill="FFFFFF"/>
            <w:noWrap/>
            <w:vAlign w:val="bottom"/>
            <w:hideMark/>
          </w:tcPr>
          <w:p w14:paraId="5E389FBB"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w:t>
            </w:r>
          </w:p>
        </w:tc>
        <w:tc>
          <w:tcPr>
            <w:tcW w:w="0" w:type="auto"/>
            <w:tcBorders>
              <w:top w:val="nil"/>
              <w:left w:val="nil"/>
              <w:bottom w:val="nil"/>
              <w:right w:val="nil"/>
            </w:tcBorders>
            <w:shd w:val="clear" w:color="000000" w:fill="FFFFFF"/>
            <w:vAlign w:val="center"/>
            <w:hideMark/>
          </w:tcPr>
          <w:p w14:paraId="3D54BD99"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8,94</w:t>
            </w:r>
          </w:p>
        </w:tc>
        <w:tc>
          <w:tcPr>
            <w:tcW w:w="0" w:type="auto"/>
            <w:tcBorders>
              <w:top w:val="nil"/>
              <w:left w:val="nil"/>
              <w:bottom w:val="nil"/>
              <w:right w:val="nil"/>
            </w:tcBorders>
            <w:shd w:val="clear" w:color="000000" w:fill="FFFFFF"/>
            <w:noWrap/>
            <w:vAlign w:val="bottom"/>
            <w:hideMark/>
          </w:tcPr>
          <w:p w14:paraId="76FA694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27,67</w:t>
            </w:r>
          </w:p>
        </w:tc>
      </w:tr>
      <w:tr w:rsidR="00C51DCF" w:rsidRPr="00980D46" w14:paraId="5B62A8D8" w14:textId="77777777" w:rsidTr="00CC10A3">
        <w:trPr>
          <w:gridAfter w:val="1"/>
          <w:trHeight w:val="245"/>
        </w:trPr>
        <w:tc>
          <w:tcPr>
            <w:tcW w:w="0" w:type="auto"/>
            <w:tcBorders>
              <w:top w:val="nil"/>
              <w:left w:val="nil"/>
              <w:bottom w:val="nil"/>
              <w:right w:val="nil"/>
            </w:tcBorders>
            <w:shd w:val="clear" w:color="000000" w:fill="FFFFFF"/>
            <w:vAlign w:val="center"/>
            <w:hideMark/>
          </w:tcPr>
          <w:p w14:paraId="35E9422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2000</w:t>
            </w:r>
          </w:p>
        </w:tc>
        <w:tc>
          <w:tcPr>
            <w:tcW w:w="0" w:type="auto"/>
            <w:tcBorders>
              <w:top w:val="nil"/>
              <w:left w:val="nil"/>
              <w:bottom w:val="nil"/>
              <w:right w:val="nil"/>
            </w:tcBorders>
            <w:shd w:val="clear" w:color="000000" w:fill="FFFFFF"/>
            <w:vAlign w:val="bottom"/>
            <w:hideMark/>
          </w:tcPr>
          <w:p w14:paraId="509AEA6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5,97</w:t>
            </w:r>
          </w:p>
        </w:tc>
        <w:tc>
          <w:tcPr>
            <w:tcW w:w="0" w:type="auto"/>
            <w:tcBorders>
              <w:top w:val="nil"/>
              <w:left w:val="nil"/>
              <w:bottom w:val="nil"/>
              <w:right w:val="nil"/>
            </w:tcBorders>
            <w:shd w:val="clear" w:color="000000" w:fill="FFFFFF"/>
            <w:noWrap/>
            <w:vAlign w:val="bottom"/>
            <w:hideMark/>
          </w:tcPr>
          <w:p w14:paraId="621EE89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w:t>
            </w:r>
          </w:p>
        </w:tc>
        <w:tc>
          <w:tcPr>
            <w:tcW w:w="0" w:type="auto"/>
            <w:tcBorders>
              <w:top w:val="nil"/>
              <w:left w:val="nil"/>
              <w:bottom w:val="nil"/>
              <w:right w:val="nil"/>
            </w:tcBorders>
            <w:shd w:val="clear" w:color="000000" w:fill="FFFFFF"/>
            <w:vAlign w:val="center"/>
            <w:hideMark/>
          </w:tcPr>
          <w:p w14:paraId="56CD3EF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5,97</w:t>
            </w:r>
          </w:p>
        </w:tc>
        <w:tc>
          <w:tcPr>
            <w:tcW w:w="0" w:type="auto"/>
            <w:tcBorders>
              <w:top w:val="nil"/>
              <w:left w:val="nil"/>
              <w:bottom w:val="nil"/>
              <w:right w:val="nil"/>
            </w:tcBorders>
            <w:shd w:val="clear" w:color="000000" w:fill="FFFFFF"/>
            <w:noWrap/>
            <w:vAlign w:val="bottom"/>
            <w:hideMark/>
          </w:tcPr>
          <w:p w14:paraId="1AF59BB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35,29</w:t>
            </w:r>
          </w:p>
        </w:tc>
      </w:tr>
      <w:tr w:rsidR="00C51DCF" w:rsidRPr="00980D46" w14:paraId="14F4A5FE" w14:textId="77777777" w:rsidTr="00CC10A3">
        <w:trPr>
          <w:gridAfter w:val="1"/>
          <w:trHeight w:val="245"/>
        </w:trPr>
        <w:tc>
          <w:tcPr>
            <w:tcW w:w="0" w:type="auto"/>
            <w:tcBorders>
              <w:top w:val="nil"/>
              <w:left w:val="nil"/>
              <w:bottom w:val="nil"/>
              <w:right w:val="nil"/>
            </w:tcBorders>
            <w:shd w:val="clear" w:color="000000" w:fill="FFFFFF"/>
            <w:vAlign w:val="center"/>
            <w:hideMark/>
          </w:tcPr>
          <w:p w14:paraId="72F4549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2001</w:t>
            </w:r>
          </w:p>
        </w:tc>
        <w:tc>
          <w:tcPr>
            <w:tcW w:w="0" w:type="auto"/>
            <w:tcBorders>
              <w:top w:val="nil"/>
              <w:left w:val="nil"/>
              <w:bottom w:val="nil"/>
              <w:right w:val="nil"/>
            </w:tcBorders>
            <w:shd w:val="clear" w:color="000000" w:fill="FFFFFF"/>
            <w:vAlign w:val="bottom"/>
            <w:hideMark/>
          </w:tcPr>
          <w:p w14:paraId="225EE55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7,62</w:t>
            </w:r>
          </w:p>
        </w:tc>
        <w:tc>
          <w:tcPr>
            <w:tcW w:w="0" w:type="auto"/>
            <w:tcBorders>
              <w:top w:val="nil"/>
              <w:left w:val="nil"/>
              <w:bottom w:val="nil"/>
              <w:right w:val="nil"/>
            </w:tcBorders>
            <w:shd w:val="clear" w:color="000000" w:fill="FFFFFF"/>
            <w:noWrap/>
            <w:vAlign w:val="bottom"/>
            <w:hideMark/>
          </w:tcPr>
          <w:p w14:paraId="2D907659"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w:t>
            </w:r>
          </w:p>
        </w:tc>
        <w:tc>
          <w:tcPr>
            <w:tcW w:w="0" w:type="auto"/>
            <w:tcBorders>
              <w:top w:val="nil"/>
              <w:left w:val="nil"/>
              <w:bottom w:val="nil"/>
              <w:right w:val="nil"/>
            </w:tcBorders>
            <w:shd w:val="clear" w:color="000000" w:fill="FFFFFF"/>
            <w:vAlign w:val="center"/>
            <w:hideMark/>
          </w:tcPr>
          <w:p w14:paraId="1A18FBF7"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7,62</w:t>
            </w:r>
          </w:p>
        </w:tc>
        <w:tc>
          <w:tcPr>
            <w:tcW w:w="0" w:type="auto"/>
            <w:tcBorders>
              <w:top w:val="nil"/>
              <w:left w:val="nil"/>
              <w:bottom w:val="nil"/>
              <w:right w:val="nil"/>
            </w:tcBorders>
            <w:shd w:val="clear" w:color="000000" w:fill="FFFFFF"/>
            <w:noWrap/>
            <w:vAlign w:val="bottom"/>
            <w:hideMark/>
          </w:tcPr>
          <w:p w14:paraId="4B86FF1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45,60</w:t>
            </w:r>
          </w:p>
        </w:tc>
      </w:tr>
      <w:tr w:rsidR="00C51DCF" w:rsidRPr="00980D46" w14:paraId="1CDFC43B" w14:textId="77777777" w:rsidTr="00CC10A3">
        <w:trPr>
          <w:gridAfter w:val="1"/>
          <w:trHeight w:val="245"/>
        </w:trPr>
        <w:tc>
          <w:tcPr>
            <w:tcW w:w="0" w:type="auto"/>
            <w:tcBorders>
              <w:top w:val="nil"/>
              <w:left w:val="nil"/>
              <w:bottom w:val="nil"/>
              <w:right w:val="nil"/>
            </w:tcBorders>
            <w:shd w:val="clear" w:color="000000" w:fill="FFFFFF"/>
            <w:vAlign w:val="center"/>
            <w:hideMark/>
          </w:tcPr>
          <w:p w14:paraId="0890C13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2002</w:t>
            </w:r>
          </w:p>
        </w:tc>
        <w:tc>
          <w:tcPr>
            <w:tcW w:w="0" w:type="auto"/>
            <w:tcBorders>
              <w:top w:val="nil"/>
              <w:left w:val="nil"/>
              <w:bottom w:val="nil"/>
              <w:right w:val="nil"/>
            </w:tcBorders>
            <w:shd w:val="clear" w:color="000000" w:fill="FFFFFF"/>
            <w:vAlign w:val="bottom"/>
            <w:hideMark/>
          </w:tcPr>
          <w:p w14:paraId="345025F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12,53</w:t>
            </w:r>
          </w:p>
        </w:tc>
        <w:tc>
          <w:tcPr>
            <w:tcW w:w="0" w:type="auto"/>
            <w:tcBorders>
              <w:top w:val="nil"/>
              <w:left w:val="nil"/>
              <w:bottom w:val="nil"/>
              <w:right w:val="nil"/>
            </w:tcBorders>
            <w:shd w:val="clear" w:color="000000" w:fill="FFFFFF"/>
            <w:noWrap/>
            <w:vAlign w:val="bottom"/>
            <w:hideMark/>
          </w:tcPr>
          <w:p w14:paraId="01CCE17A"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17,5</w:t>
            </w:r>
          </w:p>
        </w:tc>
        <w:tc>
          <w:tcPr>
            <w:tcW w:w="0" w:type="auto"/>
            <w:tcBorders>
              <w:top w:val="nil"/>
              <w:left w:val="nil"/>
              <w:bottom w:val="nil"/>
              <w:right w:val="nil"/>
            </w:tcBorders>
            <w:shd w:val="clear" w:color="000000" w:fill="FFFFFF"/>
            <w:noWrap/>
            <w:vAlign w:val="bottom"/>
            <w:hideMark/>
          </w:tcPr>
          <w:p w14:paraId="2BF2C50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-4,23</w:t>
            </w:r>
          </w:p>
        </w:tc>
        <w:tc>
          <w:tcPr>
            <w:tcW w:w="0" w:type="auto"/>
            <w:tcBorders>
              <w:top w:val="nil"/>
              <w:left w:val="nil"/>
              <w:bottom w:val="nil"/>
              <w:right w:val="nil"/>
            </w:tcBorders>
            <w:shd w:val="clear" w:color="000000" w:fill="FFFFFF"/>
            <w:noWrap/>
            <w:vAlign w:val="bottom"/>
            <w:hideMark/>
          </w:tcPr>
          <w:p w14:paraId="1B7CC6B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39,44</w:t>
            </w:r>
          </w:p>
        </w:tc>
      </w:tr>
      <w:tr w:rsidR="00C51DCF" w:rsidRPr="00980D46" w14:paraId="6D91DD2F" w14:textId="77777777" w:rsidTr="00CC10A3">
        <w:trPr>
          <w:gridAfter w:val="1"/>
          <w:trHeight w:val="245"/>
        </w:trPr>
        <w:tc>
          <w:tcPr>
            <w:tcW w:w="0" w:type="auto"/>
            <w:tcBorders>
              <w:top w:val="nil"/>
              <w:left w:val="nil"/>
              <w:bottom w:val="nil"/>
              <w:right w:val="nil"/>
            </w:tcBorders>
            <w:shd w:val="clear" w:color="000000" w:fill="FFFFFF"/>
            <w:vAlign w:val="center"/>
            <w:hideMark/>
          </w:tcPr>
          <w:p w14:paraId="4F77C0E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2003</w:t>
            </w:r>
          </w:p>
        </w:tc>
        <w:tc>
          <w:tcPr>
            <w:tcW w:w="0" w:type="auto"/>
            <w:tcBorders>
              <w:top w:val="nil"/>
              <w:left w:val="nil"/>
              <w:bottom w:val="nil"/>
              <w:right w:val="nil"/>
            </w:tcBorders>
            <w:shd w:val="clear" w:color="000000" w:fill="FFFFFF"/>
            <w:vAlign w:val="bottom"/>
            <w:hideMark/>
          </w:tcPr>
          <w:p w14:paraId="40315ED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9,30</w:t>
            </w:r>
          </w:p>
        </w:tc>
        <w:tc>
          <w:tcPr>
            <w:tcW w:w="0" w:type="auto"/>
            <w:tcBorders>
              <w:top w:val="nil"/>
              <w:left w:val="nil"/>
              <w:bottom w:val="nil"/>
              <w:right w:val="nil"/>
            </w:tcBorders>
            <w:shd w:val="clear" w:color="000000" w:fill="FFFFFF"/>
            <w:noWrap/>
            <w:vAlign w:val="bottom"/>
            <w:hideMark/>
          </w:tcPr>
          <w:p w14:paraId="410FA1D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w:t>
            </w:r>
          </w:p>
        </w:tc>
        <w:tc>
          <w:tcPr>
            <w:tcW w:w="0" w:type="auto"/>
            <w:tcBorders>
              <w:top w:val="nil"/>
              <w:left w:val="nil"/>
              <w:bottom w:val="nil"/>
              <w:right w:val="nil"/>
            </w:tcBorders>
            <w:shd w:val="clear" w:color="000000" w:fill="FFFFFF"/>
            <w:vAlign w:val="center"/>
            <w:hideMark/>
          </w:tcPr>
          <w:p w14:paraId="0FC173A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9,30</w:t>
            </w:r>
          </w:p>
        </w:tc>
        <w:tc>
          <w:tcPr>
            <w:tcW w:w="0" w:type="auto"/>
            <w:tcBorders>
              <w:top w:val="nil"/>
              <w:left w:val="nil"/>
              <w:bottom w:val="nil"/>
              <w:right w:val="nil"/>
            </w:tcBorders>
            <w:shd w:val="clear" w:color="000000" w:fill="FFFFFF"/>
            <w:noWrap/>
            <w:vAlign w:val="bottom"/>
            <w:hideMark/>
          </w:tcPr>
          <w:p w14:paraId="0B7DA0E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52,41</w:t>
            </w:r>
          </w:p>
        </w:tc>
      </w:tr>
      <w:tr w:rsidR="00C51DCF" w:rsidRPr="00980D46" w14:paraId="45D8F1E4" w14:textId="77777777" w:rsidTr="00CC10A3">
        <w:trPr>
          <w:gridAfter w:val="1"/>
          <w:trHeight w:val="245"/>
        </w:trPr>
        <w:tc>
          <w:tcPr>
            <w:tcW w:w="0" w:type="auto"/>
            <w:tcBorders>
              <w:top w:val="nil"/>
              <w:left w:val="nil"/>
              <w:bottom w:val="nil"/>
              <w:right w:val="nil"/>
            </w:tcBorders>
            <w:shd w:val="clear" w:color="000000" w:fill="FFFFFF"/>
            <w:vAlign w:val="center"/>
            <w:hideMark/>
          </w:tcPr>
          <w:p w14:paraId="0FDF412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2004</w:t>
            </w:r>
          </w:p>
        </w:tc>
        <w:tc>
          <w:tcPr>
            <w:tcW w:w="0" w:type="auto"/>
            <w:tcBorders>
              <w:top w:val="nil"/>
              <w:left w:val="nil"/>
              <w:bottom w:val="nil"/>
              <w:right w:val="nil"/>
            </w:tcBorders>
            <w:shd w:val="clear" w:color="000000" w:fill="FFFFFF"/>
            <w:noWrap/>
            <w:vAlign w:val="bottom"/>
            <w:hideMark/>
          </w:tcPr>
          <w:p w14:paraId="02D3FA7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7,60</w:t>
            </w:r>
          </w:p>
        </w:tc>
        <w:tc>
          <w:tcPr>
            <w:tcW w:w="0" w:type="auto"/>
            <w:tcBorders>
              <w:top w:val="nil"/>
              <w:left w:val="nil"/>
              <w:bottom w:val="nil"/>
              <w:right w:val="nil"/>
            </w:tcBorders>
            <w:shd w:val="clear" w:color="000000" w:fill="FFFFFF"/>
            <w:noWrap/>
            <w:vAlign w:val="bottom"/>
            <w:hideMark/>
          </w:tcPr>
          <w:p w14:paraId="193BA98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w:t>
            </w:r>
          </w:p>
        </w:tc>
        <w:tc>
          <w:tcPr>
            <w:tcW w:w="0" w:type="auto"/>
            <w:tcBorders>
              <w:top w:val="nil"/>
              <w:left w:val="nil"/>
              <w:bottom w:val="nil"/>
              <w:right w:val="nil"/>
            </w:tcBorders>
            <w:shd w:val="clear" w:color="000000" w:fill="FFFFFF"/>
            <w:noWrap/>
            <w:vAlign w:val="bottom"/>
            <w:hideMark/>
          </w:tcPr>
          <w:p w14:paraId="20E27549"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7,60</w:t>
            </w:r>
          </w:p>
        </w:tc>
        <w:tc>
          <w:tcPr>
            <w:tcW w:w="0" w:type="auto"/>
            <w:tcBorders>
              <w:top w:val="nil"/>
              <w:left w:val="nil"/>
              <w:bottom w:val="nil"/>
              <w:right w:val="nil"/>
            </w:tcBorders>
            <w:shd w:val="clear" w:color="000000" w:fill="FFFFFF"/>
            <w:noWrap/>
            <w:vAlign w:val="bottom"/>
            <w:hideMark/>
          </w:tcPr>
          <w:p w14:paraId="2ABA3D9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63,99</w:t>
            </w:r>
          </w:p>
        </w:tc>
      </w:tr>
      <w:tr w:rsidR="00C51DCF" w:rsidRPr="00980D46" w14:paraId="4F3B35D8" w14:textId="77777777" w:rsidTr="00CC10A3">
        <w:trPr>
          <w:gridAfter w:val="1"/>
          <w:trHeight w:val="245"/>
        </w:trPr>
        <w:tc>
          <w:tcPr>
            <w:tcW w:w="0" w:type="auto"/>
            <w:tcBorders>
              <w:top w:val="nil"/>
              <w:left w:val="nil"/>
              <w:bottom w:val="nil"/>
              <w:right w:val="nil"/>
            </w:tcBorders>
            <w:shd w:val="clear" w:color="000000" w:fill="FFFFFF"/>
            <w:vAlign w:val="center"/>
            <w:hideMark/>
          </w:tcPr>
          <w:p w14:paraId="2EC4883A"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2005</w:t>
            </w:r>
          </w:p>
        </w:tc>
        <w:tc>
          <w:tcPr>
            <w:tcW w:w="0" w:type="auto"/>
            <w:tcBorders>
              <w:top w:val="nil"/>
              <w:left w:val="nil"/>
              <w:bottom w:val="nil"/>
              <w:right w:val="nil"/>
            </w:tcBorders>
            <w:shd w:val="clear" w:color="000000" w:fill="FFFFFF"/>
            <w:noWrap/>
            <w:vAlign w:val="bottom"/>
            <w:hideMark/>
          </w:tcPr>
          <w:p w14:paraId="44AAEF17"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5,69</w:t>
            </w:r>
          </w:p>
        </w:tc>
        <w:tc>
          <w:tcPr>
            <w:tcW w:w="0" w:type="auto"/>
            <w:tcBorders>
              <w:top w:val="nil"/>
              <w:left w:val="nil"/>
              <w:bottom w:val="nil"/>
              <w:right w:val="nil"/>
            </w:tcBorders>
            <w:shd w:val="clear" w:color="000000" w:fill="FFFFFF"/>
            <w:noWrap/>
            <w:vAlign w:val="bottom"/>
            <w:hideMark/>
          </w:tcPr>
          <w:p w14:paraId="6CA30CE9"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10,00</w:t>
            </w:r>
          </w:p>
        </w:tc>
        <w:tc>
          <w:tcPr>
            <w:tcW w:w="0" w:type="auto"/>
            <w:tcBorders>
              <w:top w:val="nil"/>
              <w:left w:val="nil"/>
              <w:bottom w:val="nil"/>
              <w:right w:val="nil"/>
            </w:tcBorders>
            <w:shd w:val="clear" w:color="000000" w:fill="FFFFFF"/>
            <w:noWrap/>
            <w:vAlign w:val="bottom"/>
            <w:hideMark/>
          </w:tcPr>
          <w:p w14:paraId="4633326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-3,92</w:t>
            </w:r>
          </w:p>
        </w:tc>
        <w:tc>
          <w:tcPr>
            <w:tcW w:w="0" w:type="auto"/>
            <w:tcBorders>
              <w:top w:val="nil"/>
              <w:left w:val="nil"/>
              <w:bottom w:val="nil"/>
              <w:right w:val="nil"/>
            </w:tcBorders>
            <w:shd w:val="clear" w:color="000000" w:fill="FFFFFF"/>
            <w:noWrap/>
            <w:vAlign w:val="bottom"/>
            <w:hideMark/>
          </w:tcPr>
          <w:p w14:paraId="352107F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57,57</w:t>
            </w:r>
          </w:p>
        </w:tc>
      </w:tr>
      <w:tr w:rsidR="00C51DCF" w:rsidRPr="00980D46" w14:paraId="5B90B5EF" w14:textId="77777777" w:rsidTr="00CC10A3">
        <w:trPr>
          <w:gridAfter w:val="1"/>
          <w:trHeight w:val="245"/>
        </w:trPr>
        <w:tc>
          <w:tcPr>
            <w:tcW w:w="0" w:type="auto"/>
            <w:tcBorders>
              <w:top w:val="nil"/>
              <w:left w:val="nil"/>
              <w:bottom w:val="nil"/>
              <w:right w:val="nil"/>
            </w:tcBorders>
            <w:shd w:val="clear" w:color="000000" w:fill="FFFFFF"/>
            <w:vAlign w:val="center"/>
            <w:hideMark/>
          </w:tcPr>
          <w:p w14:paraId="2D8D724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2006</w:t>
            </w:r>
          </w:p>
        </w:tc>
        <w:tc>
          <w:tcPr>
            <w:tcW w:w="0" w:type="auto"/>
            <w:tcBorders>
              <w:top w:val="nil"/>
              <w:left w:val="nil"/>
              <w:bottom w:val="nil"/>
              <w:right w:val="nil"/>
            </w:tcBorders>
            <w:shd w:val="clear" w:color="000000" w:fill="FFFFFF"/>
            <w:noWrap/>
            <w:vAlign w:val="bottom"/>
            <w:hideMark/>
          </w:tcPr>
          <w:p w14:paraId="2665698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3,14</w:t>
            </w:r>
          </w:p>
        </w:tc>
        <w:tc>
          <w:tcPr>
            <w:tcW w:w="0" w:type="auto"/>
            <w:tcBorders>
              <w:top w:val="nil"/>
              <w:left w:val="nil"/>
              <w:bottom w:val="nil"/>
              <w:right w:val="nil"/>
            </w:tcBorders>
            <w:shd w:val="clear" w:color="000000" w:fill="FFFFFF"/>
            <w:noWrap/>
            <w:vAlign w:val="bottom"/>
            <w:hideMark/>
          </w:tcPr>
          <w:p w14:paraId="1B8E3D2E"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8,00</w:t>
            </w:r>
          </w:p>
        </w:tc>
        <w:tc>
          <w:tcPr>
            <w:tcW w:w="0" w:type="auto"/>
            <w:tcBorders>
              <w:top w:val="nil"/>
              <w:left w:val="nil"/>
              <w:bottom w:val="nil"/>
              <w:right w:val="nil"/>
            </w:tcBorders>
            <w:shd w:val="clear" w:color="000000" w:fill="FFFFFF"/>
            <w:noWrap/>
            <w:vAlign w:val="bottom"/>
            <w:hideMark/>
          </w:tcPr>
          <w:p w14:paraId="3ACDDF1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06F40C8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50,48</w:t>
            </w:r>
          </w:p>
        </w:tc>
      </w:tr>
      <w:tr w:rsidR="00C51DCF" w:rsidRPr="00980D46" w14:paraId="653256D6" w14:textId="77777777" w:rsidTr="00CC10A3">
        <w:trPr>
          <w:gridAfter w:val="1"/>
          <w:trHeight w:val="245"/>
        </w:trPr>
        <w:tc>
          <w:tcPr>
            <w:tcW w:w="0" w:type="auto"/>
            <w:tcBorders>
              <w:top w:val="nil"/>
              <w:left w:val="nil"/>
              <w:bottom w:val="nil"/>
              <w:right w:val="nil"/>
            </w:tcBorders>
            <w:shd w:val="clear" w:color="000000" w:fill="FFFFFF"/>
            <w:vAlign w:val="center"/>
            <w:hideMark/>
          </w:tcPr>
          <w:p w14:paraId="59A0827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2007</w:t>
            </w:r>
          </w:p>
        </w:tc>
        <w:tc>
          <w:tcPr>
            <w:tcW w:w="0" w:type="auto"/>
            <w:tcBorders>
              <w:top w:val="nil"/>
              <w:left w:val="nil"/>
              <w:bottom w:val="nil"/>
              <w:right w:val="nil"/>
            </w:tcBorders>
            <w:shd w:val="clear" w:color="000000" w:fill="FFFFFF"/>
            <w:noWrap/>
            <w:vAlign w:val="bottom"/>
            <w:hideMark/>
          </w:tcPr>
          <w:p w14:paraId="7DB9031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4,46</w:t>
            </w:r>
          </w:p>
        </w:tc>
        <w:tc>
          <w:tcPr>
            <w:tcW w:w="0" w:type="auto"/>
            <w:tcBorders>
              <w:top w:val="nil"/>
              <w:left w:val="nil"/>
              <w:bottom w:val="nil"/>
              <w:right w:val="nil"/>
            </w:tcBorders>
            <w:shd w:val="clear" w:color="000000" w:fill="FFFFFF"/>
            <w:noWrap/>
            <w:vAlign w:val="bottom"/>
            <w:hideMark/>
          </w:tcPr>
          <w:p w14:paraId="3DB9561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0A2963A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-0,04</w:t>
            </w:r>
          </w:p>
        </w:tc>
        <w:tc>
          <w:tcPr>
            <w:tcW w:w="0" w:type="auto"/>
            <w:tcBorders>
              <w:top w:val="nil"/>
              <w:left w:val="nil"/>
              <w:bottom w:val="nil"/>
              <w:right w:val="nil"/>
            </w:tcBorders>
            <w:shd w:val="clear" w:color="000000" w:fill="FFFFFF"/>
            <w:noWrap/>
            <w:vAlign w:val="bottom"/>
            <w:hideMark/>
          </w:tcPr>
          <w:p w14:paraId="70E03A8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50,42</w:t>
            </w:r>
          </w:p>
        </w:tc>
      </w:tr>
      <w:tr w:rsidR="00C51DCF" w:rsidRPr="00980D46" w14:paraId="034783F8" w14:textId="77777777" w:rsidTr="00CC10A3">
        <w:trPr>
          <w:gridAfter w:val="1"/>
          <w:trHeight w:val="245"/>
        </w:trPr>
        <w:tc>
          <w:tcPr>
            <w:tcW w:w="0" w:type="auto"/>
            <w:tcBorders>
              <w:top w:val="nil"/>
              <w:left w:val="nil"/>
              <w:bottom w:val="nil"/>
              <w:right w:val="nil"/>
            </w:tcBorders>
            <w:shd w:val="clear" w:color="000000" w:fill="FFFFFF"/>
            <w:vAlign w:val="center"/>
            <w:hideMark/>
          </w:tcPr>
          <w:p w14:paraId="573A2B1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2008</w:t>
            </w:r>
          </w:p>
        </w:tc>
        <w:tc>
          <w:tcPr>
            <w:tcW w:w="0" w:type="auto"/>
            <w:tcBorders>
              <w:top w:val="nil"/>
              <w:left w:val="nil"/>
              <w:bottom w:val="nil"/>
              <w:right w:val="nil"/>
            </w:tcBorders>
            <w:shd w:val="clear" w:color="000000" w:fill="FFFFFF"/>
            <w:noWrap/>
            <w:vAlign w:val="bottom"/>
            <w:hideMark/>
          </w:tcPr>
          <w:p w14:paraId="6D93883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5,90</w:t>
            </w:r>
          </w:p>
        </w:tc>
        <w:tc>
          <w:tcPr>
            <w:tcW w:w="0" w:type="auto"/>
            <w:tcBorders>
              <w:top w:val="nil"/>
              <w:left w:val="nil"/>
              <w:bottom w:val="nil"/>
              <w:right w:val="nil"/>
            </w:tcBorders>
            <w:shd w:val="clear" w:color="000000" w:fill="FFFFFF"/>
            <w:noWrap/>
            <w:vAlign w:val="bottom"/>
            <w:hideMark/>
          </w:tcPr>
          <w:p w14:paraId="4FDD79A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7E91B7A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1,34</w:t>
            </w:r>
          </w:p>
        </w:tc>
        <w:tc>
          <w:tcPr>
            <w:tcW w:w="0" w:type="auto"/>
            <w:tcBorders>
              <w:top w:val="nil"/>
              <w:left w:val="nil"/>
              <w:bottom w:val="nil"/>
              <w:right w:val="nil"/>
            </w:tcBorders>
            <w:shd w:val="clear" w:color="000000" w:fill="FFFFFF"/>
            <w:noWrap/>
            <w:vAlign w:val="bottom"/>
            <w:hideMark/>
          </w:tcPr>
          <w:p w14:paraId="373EE79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52,44</w:t>
            </w:r>
          </w:p>
        </w:tc>
      </w:tr>
      <w:tr w:rsidR="00C51DCF" w:rsidRPr="00980D46" w14:paraId="4D706D2B" w14:textId="77777777" w:rsidTr="00CC10A3">
        <w:trPr>
          <w:gridAfter w:val="1"/>
          <w:trHeight w:val="264"/>
        </w:trPr>
        <w:tc>
          <w:tcPr>
            <w:tcW w:w="0" w:type="auto"/>
            <w:tcBorders>
              <w:top w:val="nil"/>
              <w:left w:val="nil"/>
              <w:bottom w:val="nil"/>
              <w:right w:val="nil"/>
            </w:tcBorders>
            <w:shd w:val="clear" w:color="000000" w:fill="FFFFFF"/>
            <w:vAlign w:val="center"/>
            <w:hideMark/>
          </w:tcPr>
          <w:p w14:paraId="699E7B1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2009</w:t>
            </w:r>
          </w:p>
        </w:tc>
        <w:tc>
          <w:tcPr>
            <w:tcW w:w="0" w:type="auto"/>
            <w:tcBorders>
              <w:top w:val="nil"/>
              <w:left w:val="nil"/>
              <w:bottom w:val="nil"/>
              <w:right w:val="nil"/>
            </w:tcBorders>
            <w:shd w:val="clear" w:color="000000" w:fill="FFFFFF"/>
            <w:noWrap/>
            <w:vAlign w:val="bottom"/>
            <w:hideMark/>
          </w:tcPr>
          <w:p w14:paraId="7FE4EB7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4,31</w:t>
            </w:r>
          </w:p>
        </w:tc>
        <w:tc>
          <w:tcPr>
            <w:tcW w:w="0" w:type="auto"/>
            <w:tcBorders>
              <w:top w:val="nil"/>
              <w:left w:val="nil"/>
              <w:bottom w:val="nil"/>
              <w:right w:val="nil"/>
            </w:tcBorders>
            <w:shd w:val="clear" w:color="000000" w:fill="FFFFFF"/>
            <w:noWrap/>
            <w:vAlign w:val="bottom"/>
            <w:hideMark/>
          </w:tcPr>
          <w:p w14:paraId="0C29F100"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400F4C77"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-0,18</w:t>
            </w:r>
          </w:p>
        </w:tc>
        <w:tc>
          <w:tcPr>
            <w:tcW w:w="0" w:type="auto"/>
            <w:tcBorders>
              <w:top w:val="nil"/>
              <w:left w:val="nil"/>
              <w:bottom w:val="nil"/>
              <w:right w:val="nil"/>
            </w:tcBorders>
            <w:shd w:val="clear" w:color="000000" w:fill="FFFFFF"/>
            <w:noWrap/>
            <w:vAlign w:val="bottom"/>
            <w:hideMark/>
          </w:tcPr>
          <w:p w14:paraId="25F5454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52,16</w:t>
            </w:r>
          </w:p>
        </w:tc>
      </w:tr>
      <w:tr w:rsidR="00C51DCF" w:rsidRPr="00980D46" w14:paraId="72187AD7" w14:textId="77777777" w:rsidTr="00CC10A3">
        <w:trPr>
          <w:gridAfter w:val="1"/>
          <w:trHeight w:val="245"/>
        </w:trPr>
        <w:tc>
          <w:tcPr>
            <w:tcW w:w="0" w:type="auto"/>
            <w:tcBorders>
              <w:top w:val="nil"/>
              <w:left w:val="nil"/>
              <w:bottom w:val="nil"/>
              <w:right w:val="nil"/>
            </w:tcBorders>
            <w:shd w:val="clear" w:color="000000" w:fill="FFFFFF"/>
            <w:vAlign w:val="center"/>
            <w:hideMark/>
          </w:tcPr>
          <w:p w14:paraId="6D18EE6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2010</w:t>
            </w:r>
          </w:p>
        </w:tc>
        <w:tc>
          <w:tcPr>
            <w:tcW w:w="0" w:type="auto"/>
            <w:tcBorders>
              <w:top w:val="nil"/>
              <w:left w:val="nil"/>
              <w:bottom w:val="nil"/>
              <w:right w:val="nil"/>
            </w:tcBorders>
            <w:shd w:val="clear" w:color="000000" w:fill="FFFFFF"/>
            <w:noWrap/>
            <w:vAlign w:val="bottom"/>
            <w:hideMark/>
          </w:tcPr>
          <w:p w14:paraId="707FA35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5,91</w:t>
            </w:r>
          </w:p>
        </w:tc>
        <w:tc>
          <w:tcPr>
            <w:tcW w:w="0" w:type="auto"/>
            <w:tcBorders>
              <w:top w:val="nil"/>
              <w:left w:val="nil"/>
              <w:bottom w:val="nil"/>
              <w:right w:val="nil"/>
            </w:tcBorders>
            <w:shd w:val="clear" w:color="000000" w:fill="FFFFFF"/>
            <w:noWrap/>
            <w:vAlign w:val="bottom"/>
            <w:hideMark/>
          </w:tcPr>
          <w:p w14:paraId="6BAA0F0E"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76106CD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1,35</w:t>
            </w:r>
          </w:p>
        </w:tc>
        <w:tc>
          <w:tcPr>
            <w:tcW w:w="0" w:type="auto"/>
            <w:tcBorders>
              <w:top w:val="nil"/>
              <w:left w:val="nil"/>
              <w:bottom w:val="nil"/>
              <w:right w:val="nil"/>
            </w:tcBorders>
            <w:shd w:val="clear" w:color="000000" w:fill="FFFFFF"/>
            <w:noWrap/>
            <w:vAlign w:val="bottom"/>
            <w:hideMark/>
          </w:tcPr>
          <w:p w14:paraId="6F2B7AF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54,21</w:t>
            </w:r>
          </w:p>
        </w:tc>
      </w:tr>
      <w:tr w:rsidR="00C51DCF" w:rsidRPr="00980D46" w14:paraId="7D4DF33A" w14:textId="77777777" w:rsidTr="00CC10A3">
        <w:trPr>
          <w:gridAfter w:val="1"/>
          <w:trHeight w:val="245"/>
        </w:trPr>
        <w:tc>
          <w:tcPr>
            <w:tcW w:w="0" w:type="auto"/>
            <w:tcBorders>
              <w:top w:val="nil"/>
              <w:left w:val="nil"/>
              <w:bottom w:val="nil"/>
              <w:right w:val="nil"/>
            </w:tcBorders>
            <w:shd w:val="clear" w:color="000000" w:fill="FFFFFF"/>
            <w:vAlign w:val="center"/>
            <w:hideMark/>
          </w:tcPr>
          <w:p w14:paraId="302D7DB9"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2011</w:t>
            </w:r>
          </w:p>
        </w:tc>
        <w:tc>
          <w:tcPr>
            <w:tcW w:w="0" w:type="auto"/>
            <w:tcBorders>
              <w:top w:val="nil"/>
              <w:left w:val="nil"/>
              <w:bottom w:val="nil"/>
              <w:right w:val="nil"/>
            </w:tcBorders>
            <w:shd w:val="clear" w:color="000000" w:fill="FFFFFF"/>
            <w:noWrap/>
            <w:vAlign w:val="bottom"/>
            <w:hideMark/>
          </w:tcPr>
          <w:p w14:paraId="5C3CE02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6,50</w:t>
            </w:r>
          </w:p>
        </w:tc>
        <w:tc>
          <w:tcPr>
            <w:tcW w:w="0" w:type="auto"/>
            <w:tcBorders>
              <w:top w:val="nil"/>
              <w:left w:val="nil"/>
              <w:bottom w:val="nil"/>
              <w:right w:val="nil"/>
            </w:tcBorders>
            <w:shd w:val="clear" w:color="000000" w:fill="FFFFFF"/>
            <w:noWrap/>
            <w:vAlign w:val="bottom"/>
            <w:hideMark/>
          </w:tcPr>
          <w:p w14:paraId="2670DA2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526D6EF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1,92</w:t>
            </w:r>
          </w:p>
        </w:tc>
        <w:tc>
          <w:tcPr>
            <w:tcW w:w="0" w:type="auto"/>
            <w:tcBorders>
              <w:top w:val="nil"/>
              <w:left w:val="nil"/>
              <w:bottom w:val="nil"/>
              <w:right w:val="nil"/>
            </w:tcBorders>
            <w:shd w:val="clear" w:color="000000" w:fill="FFFFFF"/>
            <w:noWrap/>
            <w:vAlign w:val="bottom"/>
            <w:hideMark/>
          </w:tcPr>
          <w:p w14:paraId="4B46FC6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57,17</w:t>
            </w:r>
          </w:p>
        </w:tc>
      </w:tr>
      <w:tr w:rsidR="00C51DCF" w:rsidRPr="00980D46" w14:paraId="66AA6836" w14:textId="77777777" w:rsidTr="00CC10A3">
        <w:trPr>
          <w:gridAfter w:val="1"/>
          <w:trHeight w:val="245"/>
        </w:trPr>
        <w:tc>
          <w:tcPr>
            <w:tcW w:w="0" w:type="auto"/>
            <w:tcBorders>
              <w:top w:val="nil"/>
              <w:left w:val="nil"/>
              <w:bottom w:val="nil"/>
              <w:right w:val="nil"/>
            </w:tcBorders>
            <w:shd w:val="clear" w:color="000000" w:fill="FFFFFF"/>
            <w:vAlign w:val="center"/>
            <w:hideMark/>
          </w:tcPr>
          <w:p w14:paraId="3278E2EB"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2012</w:t>
            </w:r>
          </w:p>
        </w:tc>
        <w:tc>
          <w:tcPr>
            <w:tcW w:w="0" w:type="auto"/>
            <w:tcBorders>
              <w:top w:val="nil"/>
              <w:left w:val="nil"/>
              <w:bottom w:val="nil"/>
              <w:right w:val="nil"/>
            </w:tcBorders>
            <w:shd w:val="clear" w:color="000000" w:fill="FFFFFF"/>
            <w:noWrap/>
            <w:vAlign w:val="bottom"/>
            <w:hideMark/>
          </w:tcPr>
          <w:p w14:paraId="62A62C1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5,84</w:t>
            </w:r>
          </w:p>
        </w:tc>
        <w:tc>
          <w:tcPr>
            <w:tcW w:w="0" w:type="auto"/>
            <w:tcBorders>
              <w:top w:val="nil"/>
              <w:left w:val="nil"/>
              <w:bottom w:val="nil"/>
              <w:right w:val="nil"/>
            </w:tcBorders>
            <w:shd w:val="clear" w:color="000000" w:fill="FFFFFF"/>
            <w:noWrap/>
            <w:vAlign w:val="bottom"/>
            <w:hideMark/>
          </w:tcPr>
          <w:p w14:paraId="1BF706B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6ECA4EF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1,28</w:t>
            </w:r>
          </w:p>
        </w:tc>
        <w:tc>
          <w:tcPr>
            <w:tcW w:w="0" w:type="auto"/>
            <w:tcBorders>
              <w:top w:val="nil"/>
              <w:left w:val="nil"/>
              <w:bottom w:val="nil"/>
              <w:right w:val="nil"/>
            </w:tcBorders>
            <w:shd w:val="clear" w:color="000000" w:fill="FFFFFF"/>
            <w:noWrap/>
            <w:vAlign w:val="bottom"/>
            <w:hideMark/>
          </w:tcPr>
          <w:p w14:paraId="6244061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59,18</w:t>
            </w:r>
          </w:p>
        </w:tc>
      </w:tr>
      <w:tr w:rsidR="00C51DCF" w:rsidRPr="00980D46" w14:paraId="264A51EE" w14:textId="77777777" w:rsidTr="00CC10A3">
        <w:trPr>
          <w:gridAfter w:val="1"/>
          <w:trHeight w:val="245"/>
        </w:trPr>
        <w:tc>
          <w:tcPr>
            <w:tcW w:w="0" w:type="auto"/>
            <w:tcBorders>
              <w:top w:val="nil"/>
              <w:left w:val="nil"/>
              <w:bottom w:val="nil"/>
              <w:right w:val="nil"/>
            </w:tcBorders>
            <w:shd w:val="clear" w:color="000000" w:fill="FFFFFF"/>
            <w:vAlign w:val="center"/>
            <w:hideMark/>
          </w:tcPr>
          <w:p w14:paraId="326CC0E0"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2013</w:t>
            </w:r>
          </w:p>
        </w:tc>
        <w:tc>
          <w:tcPr>
            <w:tcW w:w="0" w:type="auto"/>
            <w:tcBorders>
              <w:top w:val="nil"/>
              <w:left w:val="nil"/>
              <w:bottom w:val="nil"/>
              <w:right w:val="nil"/>
            </w:tcBorders>
            <w:shd w:val="clear" w:color="000000" w:fill="FFFFFF"/>
            <w:noWrap/>
            <w:vAlign w:val="bottom"/>
            <w:hideMark/>
          </w:tcPr>
          <w:p w14:paraId="11302260"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5,91</w:t>
            </w:r>
          </w:p>
        </w:tc>
        <w:tc>
          <w:tcPr>
            <w:tcW w:w="0" w:type="auto"/>
            <w:tcBorders>
              <w:top w:val="nil"/>
              <w:left w:val="nil"/>
              <w:bottom w:val="nil"/>
              <w:right w:val="nil"/>
            </w:tcBorders>
            <w:shd w:val="clear" w:color="000000" w:fill="FFFFFF"/>
            <w:noWrap/>
            <w:vAlign w:val="bottom"/>
            <w:hideMark/>
          </w:tcPr>
          <w:p w14:paraId="7EA37DE9"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612246F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1,35</w:t>
            </w:r>
          </w:p>
        </w:tc>
        <w:tc>
          <w:tcPr>
            <w:tcW w:w="0" w:type="auto"/>
            <w:tcBorders>
              <w:top w:val="nil"/>
              <w:left w:val="nil"/>
              <w:bottom w:val="nil"/>
              <w:right w:val="nil"/>
            </w:tcBorders>
            <w:shd w:val="clear" w:color="000000" w:fill="FFFFFF"/>
            <w:noWrap/>
            <w:vAlign w:val="bottom"/>
            <w:hideMark/>
          </w:tcPr>
          <w:p w14:paraId="7B0913D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61,33</w:t>
            </w:r>
          </w:p>
        </w:tc>
      </w:tr>
      <w:tr w:rsidR="00C51DCF" w:rsidRPr="00980D46" w14:paraId="66436568" w14:textId="77777777" w:rsidTr="00CC10A3">
        <w:trPr>
          <w:gridAfter w:val="1"/>
          <w:trHeight w:val="245"/>
        </w:trPr>
        <w:tc>
          <w:tcPr>
            <w:tcW w:w="0" w:type="auto"/>
            <w:tcBorders>
              <w:top w:val="nil"/>
              <w:left w:val="nil"/>
              <w:bottom w:val="nil"/>
              <w:right w:val="nil"/>
            </w:tcBorders>
            <w:shd w:val="clear" w:color="000000" w:fill="FFFFFF"/>
            <w:vAlign w:val="center"/>
            <w:hideMark/>
          </w:tcPr>
          <w:p w14:paraId="0C35EE0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2014</w:t>
            </w:r>
          </w:p>
        </w:tc>
        <w:tc>
          <w:tcPr>
            <w:tcW w:w="0" w:type="auto"/>
            <w:tcBorders>
              <w:top w:val="nil"/>
              <w:left w:val="nil"/>
              <w:bottom w:val="nil"/>
              <w:right w:val="nil"/>
            </w:tcBorders>
            <w:shd w:val="clear" w:color="000000" w:fill="FFFFFF"/>
            <w:noWrap/>
            <w:vAlign w:val="bottom"/>
            <w:hideMark/>
          </w:tcPr>
          <w:p w14:paraId="0BF86E57"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6,41</w:t>
            </w:r>
          </w:p>
        </w:tc>
        <w:tc>
          <w:tcPr>
            <w:tcW w:w="0" w:type="auto"/>
            <w:tcBorders>
              <w:top w:val="nil"/>
              <w:left w:val="nil"/>
              <w:bottom w:val="nil"/>
              <w:right w:val="nil"/>
            </w:tcBorders>
            <w:shd w:val="clear" w:color="000000" w:fill="FFFFFF"/>
            <w:noWrap/>
            <w:vAlign w:val="bottom"/>
            <w:hideMark/>
          </w:tcPr>
          <w:p w14:paraId="54ADA82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4,50</w:t>
            </w:r>
          </w:p>
        </w:tc>
        <w:tc>
          <w:tcPr>
            <w:tcW w:w="0" w:type="auto"/>
            <w:tcBorders>
              <w:top w:val="nil"/>
              <w:left w:val="nil"/>
              <w:bottom w:val="nil"/>
              <w:right w:val="nil"/>
            </w:tcBorders>
            <w:shd w:val="clear" w:color="000000" w:fill="FFFFFF"/>
            <w:noWrap/>
            <w:vAlign w:val="bottom"/>
            <w:hideMark/>
          </w:tcPr>
          <w:p w14:paraId="2518512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1,83</w:t>
            </w:r>
          </w:p>
        </w:tc>
        <w:tc>
          <w:tcPr>
            <w:tcW w:w="0" w:type="auto"/>
            <w:tcBorders>
              <w:top w:val="nil"/>
              <w:left w:val="nil"/>
              <w:bottom w:val="nil"/>
              <w:right w:val="nil"/>
            </w:tcBorders>
            <w:shd w:val="clear" w:color="000000" w:fill="FFFFFF"/>
            <w:noWrap/>
            <w:vAlign w:val="bottom"/>
            <w:hideMark/>
          </w:tcPr>
          <w:p w14:paraId="30EF455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64,28</w:t>
            </w:r>
          </w:p>
        </w:tc>
      </w:tr>
      <w:tr w:rsidR="00C51DCF" w:rsidRPr="00980D46" w14:paraId="648FA098" w14:textId="77777777" w:rsidTr="00CC10A3">
        <w:trPr>
          <w:gridAfter w:val="1"/>
          <w:trHeight w:val="245"/>
        </w:trPr>
        <w:tc>
          <w:tcPr>
            <w:tcW w:w="0" w:type="auto"/>
            <w:tcBorders>
              <w:top w:val="nil"/>
              <w:left w:val="nil"/>
              <w:bottom w:val="nil"/>
              <w:right w:val="nil"/>
            </w:tcBorders>
            <w:shd w:val="clear" w:color="000000" w:fill="FFFFFF"/>
            <w:vAlign w:val="center"/>
            <w:hideMark/>
          </w:tcPr>
          <w:p w14:paraId="429621F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2015</w:t>
            </w:r>
          </w:p>
        </w:tc>
        <w:tc>
          <w:tcPr>
            <w:tcW w:w="0" w:type="auto"/>
            <w:tcBorders>
              <w:top w:val="nil"/>
              <w:left w:val="nil"/>
              <w:bottom w:val="nil"/>
              <w:right w:val="nil"/>
            </w:tcBorders>
            <w:shd w:val="clear" w:color="000000" w:fill="FFFFFF"/>
            <w:noWrap/>
            <w:vAlign w:val="bottom"/>
            <w:hideMark/>
          </w:tcPr>
          <w:p w14:paraId="14A2031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10,67</w:t>
            </w:r>
          </w:p>
        </w:tc>
        <w:tc>
          <w:tcPr>
            <w:tcW w:w="0" w:type="auto"/>
            <w:tcBorders>
              <w:top w:val="nil"/>
              <w:left w:val="nil"/>
              <w:bottom w:val="nil"/>
              <w:right w:val="nil"/>
            </w:tcBorders>
            <w:shd w:val="clear" w:color="000000" w:fill="FFFFFF"/>
            <w:noWrap/>
            <w:vAlign w:val="bottom"/>
            <w:hideMark/>
          </w:tcPr>
          <w:p w14:paraId="265DFEB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5,60</w:t>
            </w:r>
          </w:p>
        </w:tc>
        <w:tc>
          <w:tcPr>
            <w:tcW w:w="0" w:type="auto"/>
            <w:tcBorders>
              <w:top w:val="nil"/>
              <w:left w:val="nil"/>
              <w:bottom w:val="nil"/>
              <w:right w:val="nil"/>
            </w:tcBorders>
            <w:shd w:val="clear" w:color="000000" w:fill="FFFFFF"/>
            <w:noWrap/>
            <w:vAlign w:val="bottom"/>
            <w:hideMark/>
          </w:tcPr>
          <w:p w14:paraId="7F02BA5A"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4,80</w:t>
            </w:r>
          </w:p>
        </w:tc>
        <w:tc>
          <w:tcPr>
            <w:tcW w:w="0" w:type="auto"/>
            <w:tcBorders>
              <w:top w:val="nil"/>
              <w:left w:val="nil"/>
              <w:bottom w:val="nil"/>
              <w:right w:val="nil"/>
            </w:tcBorders>
            <w:shd w:val="clear" w:color="000000" w:fill="FFFFFF"/>
            <w:noWrap/>
            <w:vAlign w:val="bottom"/>
            <w:hideMark/>
          </w:tcPr>
          <w:p w14:paraId="26B40E2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72,17</w:t>
            </w:r>
          </w:p>
        </w:tc>
      </w:tr>
      <w:tr w:rsidR="00C51DCF" w:rsidRPr="00980D46" w14:paraId="7012AF66" w14:textId="77777777" w:rsidTr="00CC10A3">
        <w:trPr>
          <w:gridAfter w:val="1"/>
          <w:trHeight w:val="245"/>
        </w:trPr>
        <w:tc>
          <w:tcPr>
            <w:tcW w:w="0" w:type="auto"/>
            <w:tcBorders>
              <w:top w:val="nil"/>
              <w:left w:val="nil"/>
              <w:bottom w:val="nil"/>
              <w:right w:val="nil"/>
            </w:tcBorders>
            <w:shd w:val="clear" w:color="000000" w:fill="FFFFFF"/>
            <w:vAlign w:val="center"/>
            <w:hideMark/>
          </w:tcPr>
          <w:p w14:paraId="7510CA6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2016</w:t>
            </w:r>
          </w:p>
        </w:tc>
        <w:tc>
          <w:tcPr>
            <w:tcW w:w="0" w:type="auto"/>
            <w:tcBorders>
              <w:top w:val="nil"/>
              <w:left w:val="nil"/>
              <w:bottom w:val="nil"/>
              <w:right w:val="nil"/>
            </w:tcBorders>
            <w:shd w:val="clear" w:color="000000" w:fill="FFFFFF"/>
            <w:noWrap/>
            <w:vAlign w:val="bottom"/>
            <w:hideMark/>
          </w:tcPr>
          <w:p w14:paraId="20327DF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6,29</w:t>
            </w:r>
          </w:p>
        </w:tc>
        <w:tc>
          <w:tcPr>
            <w:tcW w:w="0" w:type="auto"/>
            <w:tcBorders>
              <w:top w:val="nil"/>
              <w:left w:val="nil"/>
              <w:bottom w:val="nil"/>
              <w:right w:val="nil"/>
            </w:tcBorders>
            <w:shd w:val="clear" w:color="000000" w:fill="FFFFFF"/>
            <w:noWrap/>
            <w:vAlign w:val="bottom"/>
            <w:hideMark/>
          </w:tcPr>
          <w:p w14:paraId="4C16E90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0,00</w:t>
            </w:r>
          </w:p>
        </w:tc>
        <w:tc>
          <w:tcPr>
            <w:tcW w:w="0" w:type="auto"/>
            <w:tcBorders>
              <w:top w:val="nil"/>
              <w:left w:val="nil"/>
              <w:bottom w:val="nil"/>
              <w:right w:val="nil"/>
            </w:tcBorders>
            <w:shd w:val="clear" w:color="000000" w:fill="FFFFFF"/>
            <w:noWrap/>
            <w:vAlign w:val="bottom"/>
            <w:hideMark/>
          </w:tcPr>
          <w:p w14:paraId="25F7C21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6,29</w:t>
            </w:r>
          </w:p>
        </w:tc>
        <w:tc>
          <w:tcPr>
            <w:tcW w:w="0" w:type="auto"/>
            <w:tcBorders>
              <w:top w:val="nil"/>
              <w:left w:val="nil"/>
              <w:bottom w:val="nil"/>
              <w:right w:val="nil"/>
            </w:tcBorders>
            <w:shd w:val="clear" w:color="000000" w:fill="FFFFFF"/>
            <w:noWrap/>
            <w:vAlign w:val="bottom"/>
            <w:hideMark/>
          </w:tcPr>
          <w:p w14:paraId="2CDE87F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82,99</w:t>
            </w:r>
          </w:p>
        </w:tc>
      </w:tr>
      <w:tr w:rsidR="00C51DCF" w:rsidRPr="00980D46" w14:paraId="32D16231" w14:textId="77777777" w:rsidTr="00CC10A3">
        <w:trPr>
          <w:gridAfter w:val="1"/>
          <w:trHeight w:val="245"/>
        </w:trPr>
        <w:tc>
          <w:tcPr>
            <w:tcW w:w="0" w:type="auto"/>
            <w:tcBorders>
              <w:top w:val="nil"/>
              <w:left w:val="nil"/>
              <w:bottom w:val="nil"/>
              <w:right w:val="nil"/>
            </w:tcBorders>
            <w:shd w:val="clear" w:color="000000" w:fill="FFFFFF"/>
            <w:vAlign w:val="center"/>
            <w:hideMark/>
          </w:tcPr>
          <w:p w14:paraId="17DFBD6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2017</w:t>
            </w:r>
          </w:p>
        </w:tc>
        <w:tc>
          <w:tcPr>
            <w:tcW w:w="0" w:type="auto"/>
            <w:tcBorders>
              <w:top w:val="nil"/>
              <w:left w:val="nil"/>
              <w:bottom w:val="nil"/>
              <w:right w:val="nil"/>
            </w:tcBorders>
            <w:shd w:val="clear" w:color="000000" w:fill="FFFFFF"/>
            <w:noWrap/>
            <w:vAlign w:val="bottom"/>
            <w:hideMark/>
          </w:tcPr>
          <w:p w14:paraId="7D71570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2,95</w:t>
            </w:r>
          </w:p>
        </w:tc>
        <w:tc>
          <w:tcPr>
            <w:tcW w:w="0" w:type="auto"/>
            <w:tcBorders>
              <w:top w:val="nil"/>
              <w:left w:val="nil"/>
              <w:bottom w:val="nil"/>
              <w:right w:val="nil"/>
            </w:tcBorders>
            <w:shd w:val="clear" w:color="000000" w:fill="FFFFFF"/>
            <w:noWrap/>
            <w:vAlign w:val="bottom"/>
            <w:hideMark/>
          </w:tcPr>
          <w:p w14:paraId="0023AB9E"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0,00</w:t>
            </w:r>
          </w:p>
        </w:tc>
        <w:tc>
          <w:tcPr>
            <w:tcW w:w="0" w:type="auto"/>
            <w:tcBorders>
              <w:top w:val="nil"/>
              <w:left w:val="nil"/>
              <w:bottom w:val="nil"/>
              <w:right w:val="nil"/>
            </w:tcBorders>
            <w:shd w:val="clear" w:color="000000" w:fill="FFFFFF"/>
            <w:noWrap/>
            <w:vAlign w:val="bottom"/>
            <w:hideMark/>
          </w:tcPr>
          <w:p w14:paraId="737B6F6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2,95</w:t>
            </w:r>
          </w:p>
        </w:tc>
        <w:tc>
          <w:tcPr>
            <w:tcW w:w="0" w:type="auto"/>
            <w:tcBorders>
              <w:top w:val="nil"/>
              <w:left w:val="nil"/>
              <w:bottom w:val="nil"/>
              <w:right w:val="nil"/>
            </w:tcBorders>
            <w:shd w:val="clear" w:color="000000" w:fill="FFFFFF"/>
            <w:noWrap/>
            <w:vAlign w:val="bottom"/>
            <w:hideMark/>
          </w:tcPr>
          <w:p w14:paraId="616D2280"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88,38</w:t>
            </w:r>
          </w:p>
        </w:tc>
      </w:tr>
      <w:tr w:rsidR="00C51DCF" w:rsidRPr="00980D46" w14:paraId="3735D26F" w14:textId="77777777" w:rsidTr="00CC10A3">
        <w:trPr>
          <w:gridAfter w:val="1"/>
          <w:trHeight w:val="245"/>
        </w:trPr>
        <w:tc>
          <w:tcPr>
            <w:tcW w:w="0" w:type="auto"/>
            <w:tcBorders>
              <w:top w:val="nil"/>
              <w:left w:val="nil"/>
              <w:bottom w:val="nil"/>
              <w:right w:val="nil"/>
            </w:tcBorders>
            <w:shd w:val="clear" w:color="000000" w:fill="FFFFFF"/>
            <w:vAlign w:val="center"/>
            <w:hideMark/>
          </w:tcPr>
          <w:p w14:paraId="25B0B58A"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2018</w:t>
            </w:r>
          </w:p>
        </w:tc>
        <w:tc>
          <w:tcPr>
            <w:tcW w:w="0" w:type="auto"/>
            <w:tcBorders>
              <w:top w:val="nil"/>
              <w:left w:val="nil"/>
              <w:bottom w:val="nil"/>
              <w:right w:val="nil"/>
            </w:tcBorders>
            <w:shd w:val="clear" w:color="000000" w:fill="FFFFFF"/>
            <w:noWrap/>
            <w:vAlign w:val="bottom"/>
            <w:hideMark/>
          </w:tcPr>
          <w:p w14:paraId="07312A68"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3,75</w:t>
            </w:r>
          </w:p>
        </w:tc>
        <w:tc>
          <w:tcPr>
            <w:tcW w:w="0" w:type="auto"/>
            <w:tcBorders>
              <w:top w:val="nil"/>
              <w:left w:val="nil"/>
              <w:bottom w:val="nil"/>
              <w:right w:val="nil"/>
            </w:tcBorders>
            <w:shd w:val="clear" w:color="000000" w:fill="FFFFFF"/>
            <w:noWrap/>
            <w:vAlign w:val="bottom"/>
            <w:hideMark/>
          </w:tcPr>
          <w:p w14:paraId="04347EE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0,00</w:t>
            </w:r>
          </w:p>
        </w:tc>
        <w:tc>
          <w:tcPr>
            <w:tcW w:w="0" w:type="auto"/>
            <w:tcBorders>
              <w:top w:val="nil"/>
              <w:left w:val="nil"/>
              <w:bottom w:val="nil"/>
              <w:right w:val="nil"/>
            </w:tcBorders>
            <w:shd w:val="clear" w:color="000000" w:fill="FFFFFF"/>
            <w:noWrap/>
            <w:vAlign w:val="bottom"/>
            <w:hideMark/>
          </w:tcPr>
          <w:p w14:paraId="6CF4E9F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3,75</w:t>
            </w:r>
          </w:p>
        </w:tc>
        <w:tc>
          <w:tcPr>
            <w:tcW w:w="0" w:type="auto"/>
            <w:tcBorders>
              <w:top w:val="nil"/>
              <w:left w:val="nil"/>
              <w:bottom w:val="nil"/>
              <w:right w:val="nil"/>
            </w:tcBorders>
            <w:shd w:val="clear" w:color="000000" w:fill="FFFFFF"/>
            <w:noWrap/>
            <w:vAlign w:val="bottom"/>
            <w:hideMark/>
          </w:tcPr>
          <w:p w14:paraId="0AC15DB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95,44</w:t>
            </w:r>
          </w:p>
        </w:tc>
      </w:tr>
      <w:tr w:rsidR="00C51DCF" w:rsidRPr="00980D46" w14:paraId="7120B975" w14:textId="77777777" w:rsidTr="00CC10A3">
        <w:trPr>
          <w:gridAfter w:val="1"/>
          <w:trHeight w:val="245"/>
        </w:trPr>
        <w:tc>
          <w:tcPr>
            <w:tcW w:w="0" w:type="auto"/>
            <w:tcBorders>
              <w:top w:val="nil"/>
              <w:left w:val="nil"/>
              <w:bottom w:val="nil"/>
              <w:right w:val="nil"/>
            </w:tcBorders>
            <w:shd w:val="clear" w:color="000000" w:fill="FFFFFF"/>
            <w:vAlign w:val="center"/>
            <w:hideMark/>
          </w:tcPr>
          <w:p w14:paraId="26D6BDB3"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2019</w:t>
            </w:r>
          </w:p>
        </w:tc>
        <w:tc>
          <w:tcPr>
            <w:tcW w:w="0" w:type="auto"/>
            <w:tcBorders>
              <w:top w:val="nil"/>
              <w:left w:val="nil"/>
              <w:bottom w:val="nil"/>
              <w:right w:val="nil"/>
            </w:tcBorders>
            <w:shd w:val="clear" w:color="000000" w:fill="FFFFFF"/>
            <w:noWrap/>
            <w:vAlign w:val="bottom"/>
            <w:hideMark/>
          </w:tcPr>
          <w:p w14:paraId="1738398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4,31</w:t>
            </w:r>
          </w:p>
        </w:tc>
        <w:tc>
          <w:tcPr>
            <w:tcW w:w="0" w:type="auto"/>
            <w:tcBorders>
              <w:top w:val="nil"/>
              <w:left w:val="nil"/>
              <w:bottom w:val="nil"/>
              <w:right w:val="nil"/>
            </w:tcBorders>
            <w:shd w:val="clear" w:color="000000" w:fill="FFFFFF"/>
            <w:noWrap/>
            <w:vAlign w:val="bottom"/>
            <w:hideMark/>
          </w:tcPr>
          <w:p w14:paraId="6304683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0,00</w:t>
            </w:r>
          </w:p>
        </w:tc>
        <w:tc>
          <w:tcPr>
            <w:tcW w:w="0" w:type="auto"/>
            <w:tcBorders>
              <w:top w:val="nil"/>
              <w:left w:val="nil"/>
              <w:bottom w:val="nil"/>
              <w:right w:val="nil"/>
            </w:tcBorders>
            <w:shd w:val="clear" w:color="000000" w:fill="FFFFFF"/>
            <w:noWrap/>
            <w:vAlign w:val="bottom"/>
            <w:hideMark/>
          </w:tcPr>
          <w:p w14:paraId="3B1E838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4,31</w:t>
            </w:r>
          </w:p>
        </w:tc>
        <w:tc>
          <w:tcPr>
            <w:tcW w:w="0" w:type="auto"/>
            <w:tcBorders>
              <w:top w:val="nil"/>
              <w:left w:val="nil"/>
              <w:bottom w:val="nil"/>
              <w:right w:val="nil"/>
            </w:tcBorders>
            <w:shd w:val="clear" w:color="000000" w:fill="FFFFFF"/>
            <w:noWrap/>
            <w:vAlign w:val="bottom"/>
            <w:hideMark/>
          </w:tcPr>
          <w:p w14:paraId="1CA7EC4B"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103,86</w:t>
            </w:r>
          </w:p>
        </w:tc>
      </w:tr>
      <w:tr w:rsidR="00C51DCF" w:rsidRPr="00980D46" w14:paraId="04CBA45B" w14:textId="77777777" w:rsidTr="00CC10A3">
        <w:trPr>
          <w:gridAfter w:val="1"/>
          <w:trHeight w:val="245"/>
        </w:trPr>
        <w:tc>
          <w:tcPr>
            <w:tcW w:w="0" w:type="auto"/>
            <w:tcBorders>
              <w:top w:val="nil"/>
              <w:left w:val="nil"/>
              <w:bottom w:val="nil"/>
              <w:right w:val="nil"/>
            </w:tcBorders>
            <w:shd w:val="clear" w:color="000000" w:fill="FFFFFF"/>
            <w:vAlign w:val="center"/>
            <w:hideMark/>
          </w:tcPr>
          <w:p w14:paraId="0F77B0E6"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2020</w:t>
            </w:r>
          </w:p>
        </w:tc>
        <w:tc>
          <w:tcPr>
            <w:tcW w:w="0" w:type="auto"/>
            <w:tcBorders>
              <w:top w:val="nil"/>
              <w:left w:val="nil"/>
              <w:bottom w:val="nil"/>
              <w:right w:val="nil"/>
            </w:tcBorders>
            <w:shd w:val="clear" w:color="000000" w:fill="FFFFFF"/>
            <w:noWrap/>
            <w:vAlign w:val="bottom"/>
            <w:hideMark/>
          </w:tcPr>
          <w:p w14:paraId="7DCA1089"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4,52</w:t>
            </w:r>
          </w:p>
        </w:tc>
        <w:tc>
          <w:tcPr>
            <w:tcW w:w="0" w:type="auto"/>
            <w:tcBorders>
              <w:top w:val="nil"/>
              <w:left w:val="nil"/>
              <w:bottom w:val="nil"/>
              <w:right w:val="nil"/>
            </w:tcBorders>
            <w:shd w:val="clear" w:color="000000" w:fill="FFFFFF"/>
            <w:noWrap/>
            <w:vAlign w:val="bottom"/>
            <w:hideMark/>
          </w:tcPr>
          <w:p w14:paraId="4BE965A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0,00</w:t>
            </w:r>
          </w:p>
        </w:tc>
        <w:tc>
          <w:tcPr>
            <w:tcW w:w="0" w:type="auto"/>
            <w:tcBorders>
              <w:top w:val="nil"/>
              <w:left w:val="nil"/>
              <w:bottom w:val="nil"/>
              <w:right w:val="nil"/>
            </w:tcBorders>
            <w:shd w:val="clear" w:color="000000" w:fill="FFFFFF"/>
            <w:noWrap/>
            <w:vAlign w:val="bottom"/>
            <w:hideMark/>
          </w:tcPr>
          <w:p w14:paraId="53EEC59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4,52</w:t>
            </w:r>
          </w:p>
        </w:tc>
        <w:tc>
          <w:tcPr>
            <w:tcW w:w="0" w:type="auto"/>
            <w:tcBorders>
              <w:top w:val="nil"/>
              <w:left w:val="nil"/>
              <w:bottom w:val="nil"/>
              <w:right w:val="nil"/>
            </w:tcBorders>
            <w:shd w:val="clear" w:color="000000" w:fill="FFFFFF"/>
            <w:noWrap/>
            <w:vAlign w:val="bottom"/>
            <w:hideMark/>
          </w:tcPr>
          <w:p w14:paraId="0A1FE61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113,08</w:t>
            </w:r>
          </w:p>
        </w:tc>
      </w:tr>
      <w:tr w:rsidR="00C51DCF" w:rsidRPr="00980D46" w14:paraId="519617DA" w14:textId="77777777" w:rsidTr="00CC10A3">
        <w:trPr>
          <w:gridAfter w:val="1"/>
          <w:trHeight w:val="245"/>
        </w:trPr>
        <w:tc>
          <w:tcPr>
            <w:tcW w:w="0" w:type="auto"/>
            <w:tcBorders>
              <w:top w:val="nil"/>
              <w:left w:val="nil"/>
              <w:bottom w:val="nil"/>
              <w:right w:val="nil"/>
            </w:tcBorders>
            <w:shd w:val="clear" w:color="000000" w:fill="FFFFFF"/>
            <w:vAlign w:val="center"/>
            <w:hideMark/>
          </w:tcPr>
          <w:p w14:paraId="136CE4EB"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2021</w:t>
            </w:r>
          </w:p>
        </w:tc>
        <w:tc>
          <w:tcPr>
            <w:tcW w:w="0" w:type="auto"/>
            <w:tcBorders>
              <w:top w:val="nil"/>
              <w:left w:val="nil"/>
              <w:bottom w:val="nil"/>
              <w:right w:val="nil"/>
            </w:tcBorders>
            <w:shd w:val="clear" w:color="000000" w:fill="FFFFFF"/>
            <w:noWrap/>
            <w:vAlign w:val="bottom"/>
            <w:hideMark/>
          </w:tcPr>
          <w:p w14:paraId="5396C52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10,06</w:t>
            </w:r>
          </w:p>
        </w:tc>
        <w:tc>
          <w:tcPr>
            <w:tcW w:w="0" w:type="auto"/>
            <w:tcBorders>
              <w:top w:val="nil"/>
              <w:left w:val="nil"/>
              <w:bottom w:val="nil"/>
              <w:right w:val="nil"/>
            </w:tcBorders>
            <w:shd w:val="clear" w:color="000000" w:fill="FFFFFF"/>
            <w:noWrap/>
            <w:vAlign w:val="bottom"/>
            <w:hideMark/>
          </w:tcPr>
          <w:p w14:paraId="5A15D1A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0,00</w:t>
            </w:r>
          </w:p>
        </w:tc>
        <w:tc>
          <w:tcPr>
            <w:tcW w:w="0" w:type="auto"/>
            <w:tcBorders>
              <w:top w:val="nil"/>
              <w:left w:val="nil"/>
              <w:bottom w:val="nil"/>
              <w:right w:val="nil"/>
            </w:tcBorders>
            <w:shd w:val="clear" w:color="000000" w:fill="FFFFFF"/>
            <w:noWrap/>
            <w:vAlign w:val="bottom"/>
            <w:hideMark/>
          </w:tcPr>
          <w:p w14:paraId="12185912"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10,06</w:t>
            </w:r>
          </w:p>
        </w:tc>
        <w:tc>
          <w:tcPr>
            <w:tcW w:w="0" w:type="auto"/>
            <w:tcBorders>
              <w:top w:val="nil"/>
              <w:left w:val="nil"/>
              <w:bottom w:val="nil"/>
              <w:right w:val="nil"/>
            </w:tcBorders>
            <w:shd w:val="clear" w:color="000000" w:fill="FFFFFF"/>
            <w:noWrap/>
            <w:vAlign w:val="bottom"/>
            <w:hideMark/>
          </w:tcPr>
          <w:p w14:paraId="4B1DCED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134,51</w:t>
            </w:r>
          </w:p>
        </w:tc>
      </w:tr>
      <w:tr w:rsidR="00C51DCF" w:rsidRPr="00980D46" w14:paraId="0950C15C" w14:textId="77777777" w:rsidTr="00CC10A3">
        <w:trPr>
          <w:gridAfter w:val="1"/>
          <w:trHeight w:val="245"/>
        </w:trPr>
        <w:tc>
          <w:tcPr>
            <w:tcW w:w="0" w:type="auto"/>
            <w:tcBorders>
              <w:top w:val="nil"/>
              <w:left w:val="nil"/>
              <w:bottom w:val="nil"/>
              <w:right w:val="nil"/>
            </w:tcBorders>
            <w:shd w:val="clear" w:color="000000" w:fill="FFFFFF"/>
            <w:vAlign w:val="center"/>
            <w:hideMark/>
          </w:tcPr>
          <w:p w14:paraId="061DF40B"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2022</w:t>
            </w:r>
          </w:p>
        </w:tc>
        <w:tc>
          <w:tcPr>
            <w:tcW w:w="0" w:type="auto"/>
            <w:tcBorders>
              <w:top w:val="nil"/>
              <w:left w:val="nil"/>
              <w:bottom w:val="nil"/>
              <w:right w:val="nil"/>
            </w:tcBorders>
            <w:shd w:val="clear" w:color="000000" w:fill="FFFFFF"/>
            <w:noWrap/>
            <w:vAlign w:val="bottom"/>
            <w:hideMark/>
          </w:tcPr>
          <w:p w14:paraId="46280869"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5,78</w:t>
            </w:r>
          </w:p>
        </w:tc>
        <w:tc>
          <w:tcPr>
            <w:tcW w:w="0" w:type="auto"/>
            <w:tcBorders>
              <w:top w:val="nil"/>
              <w:left w:val="nil"/>
              <w:bottom w:val="nil"/>
              <w:right w:val="nil"/>
            </w:tcBorders>
            <w:shd w:val="clear" w:color="000000" w:fill="FFFFFF"/>
            <w:noWrap/>
            <w:vAlign w:val="bottom"/>
            <w:hideMark/>
          </w:tcPr>
          <w:p w14:paraId="08D789C0"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0,00</w:t>
            </w:r>
          </w:p>
        </w:tc>
        <w:tc>
          <w:tcPr>
            <w:tcW w:w="0" w:type="auto"/>
            <w:tcBorders>
              <w:top w:val="nil"/>
              <w:left w:val="nil"/>
              <w:bottom w:val="nil"/>
              <w:right w:val="nil"/>
            </w:tcBorders>
            <w:shd w:val="clear" w:color="000000" w:fill="FFFFFF"/>
            <w:noWrap/>
            <w:vAlign w:val="bottom"/>
            <w:hideMark/>
          </w:tcPr>
          <w:p w14:paraId="4FCC49EA"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5,78</w:t>
            </w:r>
          </w:p>
        </w:tc>
        <w:tc>
          <w:tcPr>
            <w:tcW w:w="0" w:type="auto"/>
            <w:tcBorders>
              <w:top w:val="nil"/>
              <w:left w:val="nil"/>
              <w:bottom w:val="nil"/>
              <w:right w:val="nil"/>
            </w:tcBorders>
            <w:shd w:val="clear" w:color="000000" w:fill="FFFFFF"/>
            <w:noWrap/>
            <w:vAlign w:val="bottom"/>
            <w:hideMark/>
          </w:tcPr>
          <w:p w14:paraId="6B3C749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148,07</w:t>
            </w:r>
          </w:p>
        </w:tc>
      </w:tr>
      <w:tr w:rsidR="00C51DCF" w:rsidRPr="00980D46" w14:paraId="3B2B2258" w14:textId="77777777" w:rsidTr="00CC10A3">
        <w:trPr>
          <w:gridAfter w:val="1"/>
          <w:trHeight w:val="245"/>
        </w:trPr>
        <w:tc>
          <w:tcPr>
            <w:tcW w:w="0" w:type="auto"/>
            <w:tcBorders>
              <w:top w:val="nil"/>
              <w:left w:val="nil"/>
              <w:bottom w:val="nil"/>
              <w:right w:val="nil"/>
            </w:tcBorders>
            <w:shd w:val="clear" w:color="000000" w:fill="FFFFFF"/>
            <w:vAlign w:val="center"/>
            <w:hideMark/>
          </w:tcPr>
          <w:p w14:paraId="7A16A270"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2023</w:t>
            </w:r>
          </w:p>
        </w:tc>
        <w:tc>
          <w:tcPr>
            <w:tcW w:w="0" w:type="auto"/>
            <w:tcBorders>
              <w:top w:val="nil"/>
              <w:left w:val="nil"/>
              <w:bottom w:val="nil"/>
              <w:right w:val="nil"/>
            </w:tcBorders>
            <w:shd w:val="clear" w:color="000000" w:fill="FFFFFF"/>
            <w:noWrap/>
            <w:vAlign w:val="bottom"/>
            <w:hideMark/>
          </w:tcPr>
          <w:p w14:paraId="51628F7C"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4,62</w:t>
            </w:r>
          </w:p>
        </w:tc>
        <w:tc>
          <w:tcPr>
            <w:tcW w:w="0" w:type="auto"/>
            <w:tcBorders>
              <w:top w:val="nil"/>
              <w:left w:val="nil"/>
              <w:bottom w:val="nil"/>
              <w:right w:val="nil"/>
            </w:tcBorders>
            <w:shd w:val="clear" w:color="000000" w:fill="FFFFFF"/>
            <w:noWrap/>
            <w:vAlign w:val="bottom"/>
            <w:hideMark/>
          </w:tcPr>
          <w:p w14:paraId="4D2757F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4,15</w:t>
            </w:r>
          </w:p>
        </w:tc>
        <w:tc>
          <w:tcPr>
            <w:tcW w:w="0" w:type="auto"/>
            <w:tcBorders>
              <w:top w:val="nil"/>
              <w:left w:val="nil"/>
              <w:bottom w:val="nil"/>
              <w:right w:val="nil"/>
            </w:tcBorders>
            <w:shd w:val="clear" w:color="000000" w:fill="FFFFFF"/>
            <w:noWrap/>
            <w:vAlign w:val="bottom"/>
            <w:hideMark/>
          </w:tcPr>
          <w:p w14:paraId="7967A434"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0,45</w:t>
            </w:r>
          </w:p>
        </w:tc>
        <w:tc>
          <w:tcPr>
            <w:tcW w:w="0" w:type="auto"/>
            <w:tcBorders>
              <w:top w:val="nil"/>
              <w:left w:val="nil"/>
              <w:bottom w:val="nil"/>
              <w:right w:val="nil"/>
            </w:tcBorders>
            <w:shd w:val="clear" w:color="000000" w:fill="FFFFFF"/>
            <w:noWrap/>
            <w:vAlign w:val="bottom"/>
            <w:hideMark/>
          </w:tcPr>
          <w:p w14:paraId="1813658A"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149,19</w:t>
            </w:r>
          </w:p>
        </w:tc>
      </w:tr>
      <w:tr w:rsidR="00C51DCF" w:rsidRPr="00980D46" w14:paraId="3A96CD06" w14:textId="77777777" w:rsidTr="00CC10A3">
        <w:trPr>
          <w:gridAfter w:val="1"/>
          <w:trHeight w:val="245"/>
        </w:trPr>
        <w:tc>
          <w:tcPr>
            <w:tcW w:w="0" w:type="auto"/>
            <w:tcBorders>
              <w:top w:val="nil"/>
              <w:left w:val="nil"/>
              <w:bottom w:val="nil"/>
              <w:right w:val="nil"/>
            </w:tcBorders>
            <w:shd w:val="clear" w:color="000000" w:fill="FFFFFF"/>
            <w:vAlign w:val="center"/>
            <w:hideMark/>
          </w:tcPr>
          <w:p w14:paraId="00D1613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2024</w:t>
            </w:r>
          </w:p>
        </w:tc>
        <w:tc>
          <w:tcPr>
            <w:tcW w:w="0" w:type="auto"/>
            <w:tcBorders>
              <w:top w:val="nil"/>
              <w:left w:val="nil"/>
              <w:bottom w:val="nil"/>
              <w:right w:val="nil"/>
            </w:tcBorders>
            <w:shd w:val="clear" w:color="000000" w:fill="FFFFFF"/>
            <w:noWrap/>
            <w:vAlign w:val="bottom"/>
            <w:hideMark/>
          </w:tcPr>
          <w:p w14:paraId="7B8A326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3,88</w:t>
            </w:r>
          </w:p>
        </w:tc>
        <w:tc>
          <w:tcPr>
            <w:tcW w:w="0" w:type="auto"/>
            <w:tcBorders>
              <w:top w:val="nil"/>
              <w:left w:val="nil"/>
              <w:bottom w:val="nil"/>
              <w:right w:val="nil"/>
            </w:tcBorders>
            <w:shd w:val="clear" w:color="000000" w:fill="FFFFFF"/>
            <w:noWrap/>
            <w:vAlign w:val="bottom"/>
            <w:hideMark/>
          </w:tcPr>
          <w:p w14:paraId="7FBC433A"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38,23</w:t>
            </w:r>
          </w:p>
        </w:tc>
        <w:tc>
          <w:tcPr>
            <w:tcW w:w="0" w:type="auto"/>
            <w:tcBorders>
              <w:top w:val="nil"/>
              <w:left w:val="nil"/>
              <w:bottom w:val="nil"/>
              <w:right w:val="nil"/>
            </w:tcBorders>
            <w:shd w:val="clear" w:color="000000" w:fill="FFFFFF"/>
            <w:noWrap/>
            <w:vAlign w:val="bottom"/>
            <w:hideMark/>
          </w:tcPr>
          <w:p w14:paraId="746BFB15"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-24,85</w:t>
            </w:r>
          </w:p>
        </w:tc>
        <w:tc>
          <w:tcPr>
            <w:tcW w:w="0" w:type="auto"/>
            <w:tcBorders>
              <w:top w:val="nil"/>
              <w:left w:val="nil"/>
              <w:bottom w:val="nil"/>
              <w:right w:val="nil"/>
            </w:tcBorders>
            <w:shd w:val="clear" w:color="000000" w:fill="FFFFFF"/>
            <w:noWrap/>
            <w:vAlign w:val="bottom"/>
            <w:hideMark/>
          </w:tcPr>
          <w:p w14:paraId="6D8C4DEF"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87,26</w:t>
            </w:r>
          </w:p>
        </w:tc>
      </w:tr>
      <w:tr w:rsidR="00C51DCF" w:rsidRPr="00980D46" w14:paraId="75F9BC03" w14:textId="77777777" w:rsidTr="00CC10A3">
        <w:trPr>
          <w:gridAfter w:val="1"/>
          <w:trHeight w:val="254"/>
        </w:trPr>
        <w:tc>
          <w:tcPr>
            <w:tcW w:w="0" w:type="auto"/>
            <w:tcBorders>
              <w:top w:val="single" w:sz="4" w:space="0" w:color="auto"/>
              <w:left w:val="nil"/>
              <w:bottom w:val="double" w:sz="6" w:space="0" w:color="auto"/>
              <w:right w:val="nil"/>
            </w:tcBorders>
            <w:shd w:val="clear" w:color="000000" w:fill="FFFFFF"/>
            <w:noWrap/>
            <w:vAlign w:val="bottom"/>
            <w:hideMark/>
          </w:tcPr>
          <w:p w14:paraId="46443B1E"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Total</w:t>
            </w:r>
          </w:p>
        </w:tc>
        <w:tc>
          <w:tcPr>
            <w:tcW w:w="0" w:type="auto"/>
            <w:tcBorders>
              <w:top w:val="single" w:sz="4" w:space="0" w:color="auto"/>
              <w:left w:val="nil"/>
              <w:bottom w:val="double" w:sz="6" w:space="0" w:color="auto"/>
              <w:right w:val="nil"/>
            </w:tcBorders>
            <w:shd w:val="clear" w:color="000000" w:fill="FFFFFF"/>
            <w:noWrap/>
            <w:vAlign w:val="bottom"/>
            <w:hideMark/>
          </w:tcPr>
          <w:p w14:paraId="429CC2DE"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465,16</w:t>
            </w:r>
          </w:p>
        </w:tc>
        <w:tc>
          <w:tcPr>
            <w:tcW w:w="0" w:type="auto"/>
            <w:tcBorders>
              <w:top w:val="single" w:sz="4" w:space="0" w:color="auto"/>
              <w:left w:val="nil"/>
              <w:bottom w:val="double" w:sz="6" w:space="0" w:color="auto"/>
              <w:right w:val="nil"/>
            </w:tcBorders>
            <w:shd w:val="clear" w:color="000000" w:fill="FFFFFF"/>
            <w:noWrap/>
            <w:vAlign w:val="bottom"/>
            <w:hideMark/>
          </w:tcPr>
          <w:p w14:paraId="12EC97BE"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201,80</w:t>
            </w:r>
          </w:p>
        </w:tc>
        <w:tc>
          <w:tcPr>
            <w:tcW w:w="0" w:type="auto"/>
            <w:tcBorders>
              <w:top w:val="single" w:sz="4" w:space="0" w:color="auto"/>
              <w:left w:val="nil"/>
              <w:bottom w:val="double" w:sz="6" w:space="0" w:color="auto"/>
              <w:right w:val="nil"/>
            </w:tcBorders>
            <w:shd w:val="clear" w:color="000000" w:fill="FFFFFF"/>
            <w:noWrap/>
            <w:vAlign w:val="bottom"/>
            <w:hideMark/>
          </w:tcPr>
          <w:p w14:paraId="19860661"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87,26</w:t>
            </w:r>
          </w:p>
        </w:tc>
        <w:tc>
          <w:tcPr>
            <w:tcW w:w="0" w:type="auto"/>
            <w:tcBorders>
              <w:top w:val="single" w:sz="4" w:space="0" w:color="auto"/>
              <w:left w:val="nil"/>
              <w:bottom w:val="double" w:sz="6" w:space="0" w:color="auto"/>
              <w:right w:val="nil"/>
            </w:tcBorders>
            <w:shd w:val="clear" w:color="000000" w:fill="FFFFFF"/>
            <w:noWrap/>
            <w:vAlign w:val="bottom"/>
            <w:hideMark/>
          </w:tcPr>
          <w:p w14:paraId="45AF6D1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 </w:t>
            </w:r>
          </w:p>
        </w:tc>
      </w:tr>
      <w:tr w:rsidR="00C51DCF" w:rsidRPr="00980D46" w14:paraId="46F7DAC7" w14:textId="77777777" w:rsidTr="00CC10A3">
        <w:trPr>
          <w:gridAfter w:val="1"/>
          <w:trHeight w:val="254"/>
        </w:trPr>
        <w:tc>
          <w:tcPr>
            <w:tcW w:w="0" w:type="auto"/>
            <w:gridSpan w:val="4"/>
            <w:tcBorders>
              <w:top w:val="nil"/>
              <w:left w:val="nil"/>
              <w:bottom w:val="nil"/>
              <w:right w:val="nil"/>
            </w:tcBorders>
            <w:shd w:val="clear" w:color="000000" w:fill="FFFFFF"/>
            <w:noWrap/>
            <w:vAlign w:val="bottom"/>
            <w:hideMark/>
          </w:tcPr>
          <w:p w14:paraId="08AEAE10" w14:textId="77777777" w:rsidR="00C51DCF" w:rsidRPr="00980D46" w:rsidRDefault="00C51DCF" w:rsidP="00CC10A3">
            <w:pPr>
              <w:spacing w:after="0" w:line="240" w:lineRule="auto"/>
              <w:rPr>
                <w:rFonts w:ascii="Arial" w:hAnsi="Arial" w:cs="Arial"/>
                <w:sz w:val="20"/>
                <w:szCs w:val="20"/>
              </w:rPr>
            </w:pPr>
            <w:r w:rsidRPr="00980D46">
              <w:rPr>
                <w:rFonts w:ascii="Arial" w:hAnsi="Arial" w:cs="Arial"/>
                <w:sz w:val="20"/>
                <w:szCs w:val="20"/>
              </w:rPr>
              <w:t>2032: Defasagem acumulada média ponderada</w:t>
            </w:r>
          </w:p>
        </w:tc>
        <w:tc>
          <w:tcPr>
            <w:tcW w:w="0" w:type="auto"/>
            <w:tcBorders>
              <w:top w:val="nil"/>
              <w:left w:val="nil"/>
              <w:bottom w:val="nil"/>
              <w:right w:val="nil"/>
            </w:tcBorders>
            <w:shd w:val="clear" w:color="000000" w:fill="FFFFFF"/>
            <w:noWrap/>
            <w:vAlign w:val="bottom"/>
            <w:hideMark/>
          </w:tcPr>
          <w:p w14:paraId="30584FBD" w14:textId="77777777" w:rsidR="00C51DCF" w:rsidRPr="00980D46" w:rsidRDefault="00C51DCF" w:rsidP="00CC10A3">
            <w:pPr>
              <w:spacing w:after="0" w:line="240" w:lineRule="auto"/>
              <w:jc w:val="center"/>
              <w:rPr>
                <w:rFonts w:ascii="Arial" w:hAnsi="Arial" w:cs="Arial"/>
                <w:sz w:val="24"/>
                <w:szCs w:val="24"/>
              </w:rPr>
            </w:pPr>
            <w:r w:rsidRPr="00980D46">
              <w:rPr>
                <w:rFonts w:ascii="Arial" w:hAnsi="Arial" w:cs="Arial"/>
                <w:sz w:val="24"/>
                <w:szCs w:val="24"/>
              </w:rPr>
              <w:t> </w:t>
            </w:r>
          </w:p>
        </w:tc>
      </w:tr>
      <w:tr w:rsidR="00C51DCF" w:rsidRPr="00980D46" w14:paraId="5A0945F3" w14:textId="77777777" w:rsidTr="00CC10A3">
        <w:trPr>
          <w:gridAfter w:val="1"/>
          <w:trHeight w:val="226"/>
        </w:trPr>
        <w:tc>
          <w:tcPr>
            <w:tcW w:w="0" w:type="auto"/>
            <w:gridSpan w:val="3"/>
            <w:tcBorders>
              <w:top w:val="nil"/>
              <w:left w:val="nil"/>
              <w:bottom w:val="nil"/>
              <w:right w:val="nil"/>
            </w:tcBorders>
            <w:shd w:val="clear" w:color="000000" w:fill="FFFFFF"/>
            <w:noWrap/>
            <w:vAlign w:val="bottom"/>
            <w:hideMark/>
          </w:tcPr>
          <w:p w14:paraId="2D90EB52" w14:textId="77777777" w:rsidR="00C51DCF" w:rsidRPr="00980D46" w:rsidRDefault="00C51DCF" w:rsidP="00CC10A3">
            <w:pPr>
              <w:spacing w:after="0" w:line="240" w:lineRule="auto"/>
              <w:rPr>
                <w:rFonts w:ascii="Arial" w:hAnsi="Arial" w:cs="Arial"/>
                <w:sz w:val="20"/>
                <w:szCs w:val="20"/>
              </w:rPr>
            </w:pPr>
            <w:r w:rsidRPr="00980D46">
              <w:rPr>
                <w:rFonts w:ascii="Arial" w:hAnsi="Arial" w:cs="Arial"/>
                <w:sz w:val="20"/>
                <w:szCs w:val="20"/>
              </w:rPr>
              <w:t>Fonte: Receita Federal do Brasil, IBGE</w:t>
            </w:r>
          </w:p>
        </w:tc>
        <w:tc>
          <w:tcPr>
            <w:tcW w:w="0" w:type="auto"/>
            <w:tcBorders>
              <w:top w:val="nil"/>
              <w:left w:val="nil"/>
              <w:bottom w:val="nil"/>
              <w:right w:val="nil"/>
            </w:tcBorders>
            <w:shd w:val="clear" w:color="000000" w:fill="FFFFFF"/>
            <w:noWrap/>
            <w:vAlign w:val="bottom"/>
            <w:hideMark/>
          </w:tcPr>
          <w:p w14:paraId="2BA07943" w14:textId="77777777" w:rsidR="00C51DCF" w:rsidRPr="00980D46" w:rsidRDefault="00C51DCF" w:rsidP="00CC10A3">
            <w:pPr>
              <w:spacing w:after="0" w:line="240" w:lineRule="auto"/>
              <w:rPr>
                <w:rFonts w:ascii="Arial" w:hAnsi="Arial" w:cs="Arial"/>
                <w:sz w:val="20"/>
                <w:szCs w:val="20"/>
              </w:rPr>
            </w:pPr>
            <w:r w:rsidRPr="00980D46">
              <w:rPr>
                <w:rFonts w:ascii="Arial" w:hAnsi="Arial" w:cs="Arial"/>
                <w:sz w:val="20"/>
                <w:szCs w:val="20"/>
              </w:rPr>
              <w:t> </w:t>
            </w:r>
          </w:p>
        </w:tc>
        <w:tc>
          <w:tcPr>
            <w:tcW w:w="0" w:type="auto"/>
            <w:tcBorders>
              <w:top w:val="nil"/>
              <w:left w:val="nil"/>
              <w:bottom w:val="nil"/>
              <w:right w:val="nil"/>
            </w:tcBorders>
            <w:shd w:val="clear" w:color="000000" w:fill="FFFFFF"/>
            <w:noWrap/>
            <w:vAlign w:val="bottom"/>
            <w:hideMark/>
          </w:tcPr>
          <w:p w14:paraId="4658DC53" w14:textId="77777777" w:rsidR="00C51DCF" w:rsidRPr="00980D46" w:rsidRDefault="00C51DCF" w:rsidP="00CC10A3">
            <w:pPr>
              <w:spacing w:after="0" w:line="240" w:lineRule="auto"/>
              <w:rPr>
                <w:rFonts w:ascii="Arial" w:hAnsi="Arial" w:cs="Arial"/>
                <w:sz w:val="20"/>
                <w:szCs w:val="20"/>
              </w:rPr>
            </w:pPr>
            <w:r w:rsidRPr="00980D46">
              <w:rPr>
                <w:rFonts w:ascii="Arial" w:hAnsi="Arial" w:cs="Arial"/>
                <w:sz w:val="20"/>
                <w:szCs w:val="20"/>
              </w:rPr>
              <w:t> </w:t>
            </w:r>
          </w:p>
        </w:tc>
      </w:tr>
      <w:tr w:rsidR="00C51DCF" w:rsidRPr="00980D46" w14:paraId="53049204" w14:textId="77777777" w:rsidTr="00CC10A3">
        <w:trPr>
          <w:gridAfter w:val="1"/>
          <w:trHeight w:val="226"/>
        </w:trPr>
        <w:tc>
          <w:tcPr>
            <w:tcW w:w="0" w:type="auto"/>
            <w:gridSpan w:val="5"/>
            <w:tcBorders>
              <w:top w:val="nil"/>
              <w:left w:val="nil"/>
              <w:bottom w:val="nil"/>
              <w:right w:val="nil"/>
            </w:tcBorders>
            <w:shd w:val="clear" w:color="000000" w:fill="FFFFFF"/>
            <w:noWrap/>
            <w:vAlign w:val="bottom"/>
            <w:hideMark/>
          </w:tcPr>
          <w:p w14:paraId="30CD6766" w14:textId="77777777" w:rsidR="00C51DCF" w:rsidRPr="00980D46" w:rsidRDefault="00C51DCF" w:rsidP="00CC10A3">
            <w:pPr>
              <w:spacing w:after="0" w:line="240" w:lineRule="auto"/>
              <w:rPr>
                <w:rFonts w:ascii="Arial" w:hAnsi="Arial" w:cs="Arial"/>
                <w:sz w:val="20"/>
                <w:szCs w:val="20"/>
              </w:rPr>
            </w:pPr>
            <w:r w:rsidRPr="00980D46">
              <w:rPr>
                <w:rFonts w:ascii="Arial" w:hAnsi="Arial" w:cs="Arial"/>
                <w:sz w:val="20"/>
                <w:szCs w:val="20"/>
              </w:rPr>
              <w:t>Elaboração: Departamento de Estudos Técnicos do Sindifisco Nacional</w:t>
            </w:r>
          </w:p>
        </w:tc>
      </w:tr>
      <w:tr w:rsidR="00C51DCF" w:rsidRPr="00980D46" w14:paraId="6925C6A9" w14:textId="77777777" w:rsidTr="00CC10A3">
        <w:trPr>
          <w:gridAfter w:val="1"/>
          <w:trHeight w:val="450"/>
        </w:trPr>
        <w:tc>
          <w:tcPr>
            <w:tcW w:w="0" w:type="auto"/>
            <w:gridSpan w:val="5"/>
            <w:vMerge w:val="restart"/>
            <w:tcBorders>
              <w:top w:val="nil"/>
              <w:left w:val="nil"/>
              <w:bottom w:val="nil"/>
              <w:right w:val="nil"/>
            </w:tcBorders>
            <w:shd w:val="clear" w:color="000000" w:fill="FFFFFF"/>
            <w:vAlign w:val="bottom"/>
            <w:hideMark/>
          </w:tcPr>
          <w:p w14:paraId="716274BF" w14:textId="77777777" w:rsidR="00C51DCF" w:rsidRPr="00980D46" w:rsidRDefault="00C51DCF" w:rsidP="00CC10A3">
            <w:pPr>
              <w:spacing w:after="0" w:line="240" w:lineRule="auto"/>
              <w:rPr>
                <w:rFonts w:ascii="Arial" w:hAnsi="Arial" w:cs="Arial"/>
                <w:sz w:val="20"/>
                <w:szCs w:val="20"/>
              </w:rPr>
            </w:pPr>
            <w:r w:rsidRPr="00980D46">
              <w:rPr>
                <w:rFonts w:ascii="Arial" w:hAnsi="Arial" w:cs="Arial"/>
                <w:sz w:val="20"/>
                <w:szCs w:val="20"/>
              </w:rPr>
              <w:t>Nota: Em 2015 e 2023 utilizou-se o percentual médio ponderado pelo número de declarantes de correção da tabela devido ao reajuste</w:t>
            </w:r>
          </w:p>
        </w:tc>
      </w:tr>
      <w:tr w:rsidR="00C51DCF" w:rsidRPr="00980D46" w14:paraId="3565DDDD" w14:textId="77777777" w:rsidTr="00CC10A3">
        <w:trPr>
          <w:trHeight w:val="226"/>
        </w:trPr>
        <w:tc>
          <w:tcPr>
            <w:tcW w:w="0" w:type="auto"/>
            <w:gridSpan w:val="5"/>
            <w:vMerge/>
            <w:tcBorders>
              <w:top w:val="nil"/>
              <w:left w:val="nil"/>
              <w:bottom w:val="nil"/>
              <w:right w:val="nil"/>
            </w:tcBorders>
            <w:vAlign w:val="center"/>
            <w:hideMark/>
          </w:tcPr>
          <w:p w14:paraId="69432439" w14:textId="77777777" w:rsidR="00C51DCF" w:rsidRPr="00980D46" w:rsidRDefault="00C51DCF" w:rsidP="00CC10A3">
            <w:pPr>
              <w:spacing w:after="0"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FD18EF3" w14:textId="77777777" w:rsidR="00C51DCF" w:rsidRPr="00980D46" w:rsidRDefault="00C51DCF" w:rsidP="00CC10A3">
            <w:pPr>
              <w:spacing w:after="0" w:line="240" w:lineRule="auto"/>
              <w:rPr>
                <w:rFonts w:ascii="Arial" w:hAnsi="Arial" w:cs="Arial"/>
                <w:sz w:val="20"/>
                <w:szCs w:val="20"/>
              </w:rPr>
            </w:pPr>
          </w:p>
        </w:tc>
      </w:tr>
      <w:tr w:rsidR="00C51DCF" w:rsidRPr="00980D46" w14:paraId="2FAA1A06" w14:textId="77777777" w:rsidTr="00CC10A3">
        <w:trPr>
          <w:trHeight w:val="226"/>
        </w:trPr>
        <w:tc>
          <w:tcPr>
            <w:tcW w:w="0" w:type="auto"/>
            <w:tcBorders>
              <w:top w:val="nil"/>
              <w:left w:val="nil"/>
              <w:bottom w:val="nil"/>
              <w:right w:val="nil"/>
            </w:tcBorders>
            <w:shd w:val="clear" w:color="auto" w:fill="auto"/>
            <w:noWrap/>
            <w:vAlign w:val="bottom"/>
            <w:hideMark/>
          </w:tcPr>
          <w:p w14:paraId="1FFD3C1B" w14:textId="77777777" w:rsidR="00C51DCF" w:rsidRPr="00980D46" w:rsidRDefault="00C51DCF" w:rsidP="00CC10A3">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50F7A2F6" w14:textId="77777777" w:rsidR="00C51DCF" w:rsidRPr="00980D46" w:rsidRDefault="00C51DCF" w:rsidP="00CC10A3">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7339853" w14:textId="77777777" w:rsidR="00C51DCF" w:rsidRPr="00980D46" w:rsidRDefault="00C51DCF" w:rsidP="00CC10A3">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16783A4" w14:textId="77777777" w:rsidR="00C51DCF" w:rsidRPr="00980D46" w:rsidRDefault="00C51DCF" w:rsidP="00CC10A3">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1B31FC1A" w14:textId="77777777" w:rsidR="00C51DCF" w:rsidRPr="00980D46" w:rsidRDefault="00C51DCF" w:rsidP="00CC10A3">
            <w:pPr>
              <w:spacing w:after="0" w:line="240" w:lineRule="auto"/>
              <w:rPr>
                <w:rFonts w:ascii="Times New Roman" w:hAnsi="Times New Roman"/>
                <w:sz w:val="20"/>
                <w:szCs w:val="20"/>
              </w:rPr>
            </w:pPr>
          </w:p>
        </w:tc>
        <w:tc>
          <w:tcPr>
            <w:tcW w:w="0" w:type="auto"/>
            <w:vAlign w:val="center"/>
            <w:hideMark/>
          </w:tcPr>
          <w:p w14:paraId="67A13CE5" w14:textId="77777777" w:rsidR="00C51DCF" w:rsidRPr="00980D46" w:rsidRDefault="00C51DCF" w:rsidP="00CC10A3">
            <w:pPr>
              <w:spacing w:after="0" w:line="240" w:lineRule="auto"/>
              <w:rPr>
                <w:rFonts w:ascii="Times New Roman" w:hAnsi="Times New Roman"/>
                <w:sz w:val="20"/>
                <w:szCs w:val="20"/>
              </w:rPr>
            </w:pPr>
          </w:p>
        </w:tc>
      </w:tr>
    </w:tbl>
    <w:p w14:paraId="5C8B00BE" w14:textId="77777777" w:rsidR="00A3121D" w:rsidRDefault="00A3121D" w:rsidP="0038702B">
      <w:pPr>
        <w:rPr>
          <w:rFonts w:ascii="Arial" w:hAnsi="Arial" w:cs="Arial"/>
          <w:b/>
          <w:sz w:val="28"/>
          <w:szCs w:val="28"/>
        </w:rPr>
      </w:pPr>
    </w:p>
    <w:p w14:paraId="5EAA3F16" w14:textId="77777777" w:rsidR="00C94A87" w:rsidRPr="003352B3" w:rsidRDefault="00C94A87" w:rsidP="00C94A87">
      <w:pPr>
        <w:jc w:val="both"/>
        <w:rPr>
          <w:rFonts w:ascii="Arial" w:hAnsi="Arial" w:cs="Arial"/>
          <w:sz w:val="24"/>
          <w:szCs w:val="24"/>
        </w:rPr>
      </w:pPr>
      <w:r w:rsidRPr="003352B3">
        <w:rPr>
          <w:rFonts w:ascii="Arial" w:hAnsi="Arial" w:cs="Arial"/>
          <w:sz w:val="24"/>
          <w:szCs w:val="24"/>
        </w:rPr>
        <w:t xml:space="preserve">A última linha da tabela resume o impacto da correção proposta para 2024 e seu efeito sobre a defasagem acumulada na correção da tabela do Imposto de Renda em relação ao IPCA desde 1996. Até 2023, a defasagem acumulada atingia </w:t>
      </w:r>
      <w:r w:rsidRPr="003352B3">
        <w:rPr>
          <w:rFonts w:ascii="Arial" w:hAnsi="Arial" w:cs="Arial"/>
          <w:b/>
          <w:bCs/>
          <w:sz w:val="24"/>
          <w:szCs w:val="24"/>
        </w:rPr>
        <w:t>149,19%</w:t>
      </w:r>
      <w:r w:rsidRPr="003352B3">
        <w:rPr>
          <w:rFonts w:ascii="Arial" w:hAnsi="Arial" w:cs="Arial"/>
          <w:sz w:val="24"/>
          <w:szCs w:val="24"/>
        </w:rPr>
        <w:t>, refletindo a diferença entre a inflação acumulada no período (medida pelo IPCA) e os ajustes feitos na tabela do Imposto de Renda ao longo dos anos.</w:t>
      </w:r>
    </w:p>
    <w:p w14:paraId="44431BB7" w14:textId="77777777" w:rsidR="00C94A87" w:rsidRPr="003352B3" w:rsidRDefault="00C94A87" w:rsidP="00C94A87">
      <w:pPr>
        <w:jc w:val="both"/>
        <w:rPr>
          <w:rFonts w:ascii="Arial" w:hAnsi="Arial" w:cs="Arial"/>
          <w:sz w:val="24"/>
          <w:szCs w:val="24"/>
        </w:rPr>
      </w:pPr>
      <w:r w:rsidRPr="003352B3">
        <w:rPr>
          <w:rFonts w:ascii="Arial" w:hAnsi="Arial" w:cs="Arial"/>
          <w:sz w:val="24"/>
          <w:szCs w:val="24"/>
        </w:rPr>
        <w:t xml:space="preserve">Com a correção proposta para 2024, que prevê um reajuste de </w:t>
      </w:r>
      <w:r w:rsidRPr="003352B3">
        <w:rPr>
          <w:rFonts w:ascii="Arial" w:hAnsi="Arial" w:cs="Arial"/>
          <w:b/>
          <w:bCs/>
          <w:sz w:val="24"/>
          <w:szCs w:val="24"/>
        </w:rPr>
        <w:t>38,23%</w:t>
      </w:r>
      <w:r w:rsidRPr="003352B3">
        <w:rPr>
          <w:rFonts w:ascii="Arial" w:hAnsi="Arial" w:cs="Arial"/>
          <w:sz w:val="24"/>
          <w:szCs w:val="24"/>
        </w:rPr>
        <w:t xml:space="preserve"> na tabela, o resíduo acumulado reduz-se em </w:t>
      </w:r>
      <w:r w:rsidRPr="003352B3">
        <w:rPr>
          <w:rFonts w:ascii="Arial" w:hAnsi="Arial" w:cs="Arial"/>
          <w:b/>
          <w:bCs/>
          <w:sz w:val="24"/>
          <w:szCs w:val="24"/>
        </w:rPr>
        <w:t>24,85%</w:t>
      </w:r>
      <w:r w:rsidRPr="003352B3">
        <w:rPr>
          <w:rFonts w:ascii="Arial" w:hAnsi="Arial" w:cs="Arial"/>
          <w:sz w:val="24"/>
          <w:szCs w:val="24"/>
        </w:rPr>
        <w:t xml:space="preserve">, resultando em uma defasagem acumulada ajustada de </w:t>
      </w:r>
      <w:r w:rsidRPr="003352B3">
        <w:rPr>
          <w:rFonts w:ascii="Arial" w:hAnsi="Arial" w:cs="Arial"/>
          <w:b/>
          <w:bCs/>
          <w:sz w:val="24"/>
          <w:szCs w:val="24"/>
        </w:rPr>
        <w:t>87,26%</w:t>
      </w:r>
      <w:r w:rsidRPr="003352B3">
        <w:rPr>
          <w:rFonts w:ascii="Arial" w:hAnsi="Arial" w:cs="Arial"/>
          <w:sz w:val="24"/>
          <w:szCs w:val="24"/>
        </w:rPr>
        <w:t>. Esse valor significa que, mesmo após a correção de 2024, ainda haverá uma diferença de 87,26% entre a inflação acumulada desde 1996 e os ajustes efetivamente aplicados na tabela, evidenciando que o problema da defasagem histórica não será totalmente resolvido, mas sofrerá uma redução significativa.</w:t>
      </w:r>
    </w:p>
    <w:p w14:paraId="5D8B0476" w14:textId="77777777" w:rsidR="00C94A87" w:rsidRDefault="00C94A87" w:rsidP="00C94A87">
      <w:pPr>
        <w:jc w:val="both"/>
        <w:rPr>
          <w:rFonts w:ascii="Arial" w:hAnsi="Arial" w:cs="Arial"/>
          <w:sz w:val="24"/>
          <w:szCs w:val="24"/>
        </w:rPr>
      </w:pPr>
      <w:r w:rsidRPr="003352B3">
        <w:rPr>
          <w:rFonts w:ascii="Arial" w:hAnsi="Arial" w:cs="Arial"/>
          <w:sz w:val="24"/>
          <w:szCs w:val="24"/>
        </w:rPr>
        <w:t>Portanto, a medida representa um avanço importante, diminuindo quase à metade a defasagem histórica, mas ainda mantém um resíduo considerável, que evidencia a necessidade de futuras correções para alcançar uma atualização integral da tabela frente à inflação acumulada.</w:t>
      </w:r>
    </w:p>
    <w:p w14:paraId="3936F98F" w14:textId="3C3349F6" w:rsidR="00C94A87" w:rsidRDefault="00C94A87" w:rsidP="00C94A87">
      <w:pPr>
        <w:jc w:val="both"/>
        <w:rPr>
          <w:rFonts w:ascii="Arial" w:hAnsi="Arial" w:cs="Arial"/>
          <w:sz w:val="24"/>
          <w:szCs w:val="24"/>
        </w:rPr>
      </w:pPr>
      <w:r>
        <w:rPr>
          <w:rFonts w:ascii="Arial" w:hAnsi="Arial" w:cs="Arial"/>
          <w:sz w:val="24"/>
          <w:szCs w:val="24"/>
        </w:rPr>
        <w:t>Por outro lado, para os grandes contribuintes PF, a</w:t>
      </w:r>
      <w:r w:rsidRPr="00A27364">
        <w:rPr>
          <w:rFonts w:ascii="Arial" w:hAnsi="Arial" w:cs="Arial"/>
          <w:sz w:val="24"/>
          <w:szCs w:val="24"/>
        </w:rPr>
        <w:t xml:space="preserve"> tabela de alíquotas progressivas apresentada sugere uma incidência de imposto sobre a </w:t>
      </w:r>
      <w:r>
        <w:rPr>
          <w:rFonts w:ascii="Arial" w:hAnsi="Arial" w:cs="Arial"/>
          <w:sz w:val="24"/>
          <w:szCs w:val="24"/>
        </w:rPr>
        <w:t>rendimentos totais brutos</w:t>
      </w:r>
      <w:r w:rsidRPr="00A27364">
        <w:rPr>
          <w:rFonts w:ascii="Arial" w:hAnsi="Arial" w:cs="Arial"/>
          <w:sz w:val="24"/>
          <w:szCs w:val="24"/>
        </w:rPr>
        <w:t xml:space="preserve"> de forma escalonada</w:t>
      </w:r>
      <w:r>
        <w:rPr>
          <w:rFonts w:ascii="Arial" w:hAnsi="Arial" w:cs="Arial"/>
          <w:sz w:val="24"/>
          <w:szCs w:val="24"/>
        </w:rPr>
        <w:t xml:space="preserve"> e progressiva</w:t>
      </w:r>
      <w:r w:rsidRPr="00A27364">
        <w:rPr>
          <w:rFonts w:ascii="Arial" w:hAnsi="Arial" w:cs="Arial"/>
          <w:sz w:val="24"/>
          <w:szCs w:val="24"/>
        </w:rPr>
        <w:t>, partindo de um valor mínimo de referência e aplicando taxas</w:t>
      </w:r>
      <w:r>
        <w:rPr>
          <w:rFonts w:ascii="Arial" w:hAnsi="Arial" w:cs="Arial"/>
          <w:sz w:val="24"/>
          <w:szCs w:val="24"/>
        </w:rPr>
        <w:t xml:space="preserve"> mínimas</w:t>
      </w:r>
      <w:r w:rsidRPr="00A27364">
        <w:rPr>
          <w:rFonts w:ascii="Arial" w:hAnsi="Arial" w:cs="Arial"/>
          <w:sz w:val="24"/>
          <w:szCs w:val="24"/>
        </w:rPr>
        <w:t xml:space="preserve"> gradualmente maiores à medida que a renda aumenta. A ideia é que quanto maior o rendimento bruto ao ano, maior seja o percentual </w:t>
      </w:r>
      <w:r>
        <w:rPr>
          <w:rFonts w:ascii="Arial" w:hAnsi="Arial" w:cs="Arial"/>
          <w:sz w:val="24"/>
          <w:szCs w:val="24"/>
        </w:rPr>
        <w:t xml:space="preserve">mínimo </w:t>
      </w:r>
      <w:r w:rsidRPr="00A27364">
        <w:rPr>
          <w:rFonts w:ascii="Arial" w:hAnsi="Arial" w:cs="Arial"/>
          <w:sz w:val="24"/>
          <w:szCs w:val="24"/>
        </w:rPr>
        <w:t>de imposto a pagar.</w:t>
      </w:r>
    </w:p>
    <w:p w14:paraId="0D10C2DC" w14:textId="77777777" w:rsidR="00C94A87" w:rsidRPr="0071256A" w:rsidRDefault="00C94A87" w:rsidP="00C94A87">
      <w:pPr>
        <w:jc w:val="both"/>
        <w:rPr>
          <w:rFonts w:ascii="Arial" w:hAnsi="Arial" w:cs="Arial"/>
          <w:sz w:val="24"/>
          <w:szCs w:val="24"/>
        </w:rPr>
      </w:pPr>
      <w:r w:rsidRPr="0071256A">
        <w:rPr>
          <w:rFonts w:ascii="Arial" w:hAnsi="Arial" w:cs="Arial"/>
          <w:sz w:val="24"/>
          <w:szCs w:val="24"/>
        </w:rPr>
        <w:t>Isso significa que:</w:t>
      </w:r>
    </w:p>
    <w:p w14:paraId="57103894" w14:textId="77777777" w:rsidR="00C94A87" w:rsidRPr="0071256A" w:rsidRDefault="00C94A87" w:rsidP="00C94A87">
      <w:pPr>
        <w:numPr>
          <w:ilvl w:val="0"/>
          <w:numId w:val="10"/>
        </w:numPr>
        <w:jc w:val="both"/>
        <w:rPr>
          <w:rFonts w:ascii="Arial" w:hAnsi="Arial" w:cs="Arial"/>
          <w:sz w:val="24"/>
          <w:szCs w:val="24"/>
        </w:rPr>
      </w:pPr>
      <w:r w:rsidRPr="0071256A">
        <w:rPr>
          <w:rFonts w:ascii="Arial" w:hAnsi="Arial" w:cs="Arial"/>
          <w:sz w:val="24"/>
          <w:szCs w:val="24"/>
        </w:rPr>
        <w:t>Ao atingir determinado limite de rendimento bruto anual, a parcela do rendimento que ultrapassar esse limite será taxada, no mínimo, pela alíquota correspondente àquela faixa.</w:t>
      </w:r>
    </w:p>
    <w:p w14:paraId="33D9852D" w14:textId="57D8711B" w:rsidR="00417816" w:rsidRDefault="00C94A87" w:rsidP="00417816">
      <w:pPr>
        <w:numPr>
          <w:ilvl w:val="0"/>
          <w:numId w:val="10"/>
        </w:numPr>
        <w:jc w:val="both"/>
        <w:rPr>
          <w:rFonts w:ascii="Arial" w:hAnsi="Arial" w:cs="Arial"/>
          <w:sz w:val="24"/>
          <w:szCs w:val="24"/>
        </w:rPr>
      </w:pPr>
      <w:r>
        <w:rPr>
          <w:rFonts w:ascii="Arial" w:hAnsi="Arial" w:cs="Arial"/>
          <w:sz w:val="24"/>
          <w:szCs w:val="24"/>
        </w:rPr>
        <w:t>A medida limita as</w:t>
      </w:r>
      <w:r w:rsidRPr="0071256A">
        <w:rPr>
          <w:rFonts w:ascii="Arial" w:hAnsi="Arial" w:cs="Arial"/>
          <w:sz w:val="24"/>
          <w:szCs w:val="24"/>
        </w:rPr>
        <w:t xml:space="preserve"> deduções</w:t>
      </w:r>
      <w:r>
        <w:rPr>
          <w:rFonts w:ascii="Arial" w:hAnsi="Arial" w:cs="Arial"/>
          <w:sz w:val="24"/>
          <w:szCs w:val="24"/>
        </w:rPr>
        <w:t xml:space="preserve"> e as isenções</w:t>
      </w:r>
      <w:r w:rsidRPr="0071256A">
        <w:rPr>
          <w:rFonts w:ascii="Arial" w:hAnsi="Arial" w:cs="Arial"/>
          <w:sz w:val="24"/>
          <w:szCs w:val="24"/>
        </w:rPr>
        <w:t xml:space="preserve"> previst</w:t>
      </w:r>
      <w:r>
        <w:rPr>
          <w:rFonts w:ascii="Arial" w:hAnsi="Arial" w:cs="Arial"/>
          <w:sz w:val="24"/>
          <w:szCs w:val="24"/>
        </w:rPr>
        <w:t>a</w:t>
      </w:r>
      <w:r w:rsidRPr="0071256A">
        <w:rPr>
          <w:rFonts w:ascii="Arial" w:hAnsi="Arial" w:cs="Arial"/>
          <w:sz w:val="24"/>
          <w:szCs w:val="24"/>
        </w:rPr>
        <w:t xml:space="preserve">s em lei (por exemplo, </w:t>
      </w:r>
      <w:r>
        <w:rPr>
          <w:rFonts w:ascii="Arial" w:hAnsi="Arial" w:cs="Arial"/>
          <w:sz w:val="24"/>
          <w:szCs w:val="24"/>
        </w:rPr>
        <w:t>despesas médicas</w:t>
      </w:r>
      <w:r w:rsidRPr="0071256A">
        <w:rPr>
          <w:rFonts w:ascii="Arial" w:hAnsi="Arial" w:cs="Arial"/>
          <w:sz w:val="24"/>
          <w:szCs w:val="24"/>
        </w:rPr>
        <w:t xml:space="preserve">), essas alíquotas poderão </w:t>
      </w:r>
      <w:r>
        <w:rPr>
          <w:rFonts w:ascii="Arial" w:hAnsi="Arial" w:cs="Arial"/>
          <w:sz w:val="24"/>
          <w:szCs w:val="24"/>
        </w:rPr>
        <w:t>reduzir</w:t>
      </w:r>
      <w:r w:rsidRPr="0071256A">
        <w:rPr>
          <w:rFonts w:ascii="Arial" w:hAnsi="Arial" w:cs="Arial"/>
          <w:sz w:val="24"/>
          <w:szCs w:val="24"/>
        </w:rPr>
        <w:t xml:space="preserve"> ou ajusta</w:t>
      </w:r>
      <w:r>
        <w:rPr>
          <w:rFonts w:ascii="Arial" w:hAnsi="Arial" w:cs="Arial"/>
          <w:sz w:val="24"/>
          <w:szCs w:val="24"/>
        </w:rPr>
        <w:t>r as alíquotas efetivas pagas, entretanto limitar-se-ão a um piso</w:t>
      </w:r>
      <w:r w:rsidRPr="0071256A">
        <w:rPr>
          <w:rFonts w:ascii="Arial" w:hAnsi="Arial" w:cs="Arial"/>
          <w:sz w:val="24"/>
          <w:szCs w:val="24"/>
        </w:rPr>
        <w:t xml:space="preserve">. </w:t>
      </w:r>
      <w:r>
        <w:rPr>
          <w:rFonts w:ascii="Arial" w:hAnsi="Arial" w:cs="Arial"/>
          <w:sz w:val="24"/>
          <w:szCs w:val="24"/>
        </w:rPr>
        <w:t>O</w:t>
      </w:r>
      <w:r w:rsidRPr="0071256A">
        <w:rPr>
          <w:rFonts w:ascii="Arial" w:hAnsi="Arial" w:cs="Arial"/>
          <w:sz w:val="24"/>
          <w:szCs w:val="24"/>
        </w:rPr>
        <w:t xml:space="preserve"> ponto de partida mínimo para a tributação de cada faixa é o indicado na tabela</w:t>
      </w:r>
      <w:r>
        <w:rPr>
          <w:rFonts w:ascii="Arial" w:hAnsi="Arial" w:cs="Arial"/>
          <w:sz w:val="24"/>
          <w:szCs w:val="24"/>
        </w:rPr>
        <w:t xml:space="preserve"> a seguir:</w:t>
      </w:r>
    </w:p>
    <w:p w14:paraId="6E073DC7" w14:textId="77777777" w:rsidR="00512583" w:rsidRDefault="00512583" w:rsidP="00512583">
      <w:pPr>
        <w:jc w:val="both"/>
        <w:rPr>
          <w:rFonts w:ascii="Arial" w:hAnsi="Arial" w:cs="Arial"/>
          <w:sz w:val="24"/>
          <w:szCs w:val="24"/>
        </w:rPr>
      </w:pPr>
    </w:p>
    <w:p w14:paraId="0E98A21A" w14:textId="77777777" w:rsidR="00512583" w:rsidRDefault="00512583" w:rsidP="00512583">
      <w:pPr>
        <w:jc w:val="both"/>
        <w:rPr>
          <w:rFonts w:ascii="Arial" w:hAnsi="Arial" w:cs="Arial"/>
          <w:sz w:val="24"/>
          <w:szCs w:val="24"/>
        </w:rPr>
      </w:pPr>
    </w:p>
    <w:p w14:paraId="6D889341" w14:textId="77777777" w:rsidR="00512583" w:rsidRPr="00512583" w:rsidRDefault="00512583" w:rsidP="00512583">
      <w:pPr>
        <w:jc w:val="both"/>
        <w:rPr>
          <w:rFonts w:ascii="Arial" w:hAnsi="Arial" w:cs="Arial"/>
          <w:sz w:val="24"/>
          <w:szCs w:val="24"/>
        </w:rPr>
      </w:pPr>
    </w:p>
    <w:p w14:paraId="62C23C57" w14:textId="77777777" w:rsidR="00417816" w:rsidRPr="0071256A" w:rsidRDefault="00417816" w:rsidP="00417816">
      <w:pPr>
        <w:jc w:val="both"/>
        <w:rPr>
          <w:rFonts w:ascii="Arial" w:hAnsi="Arial" w:cs="Arial"/>
          <w:sz w:val="24"/>
          <w:szCs w:val="24"/>
        </w:rPr>
      </w:pPr>
    </w:p>
    <w:tbl>
      <w:tblPr>
        <w:tblW w:w="6516" w:type="dxa"/>
        <w:tblCellMar>
          <w:left w:w="70" w:type="dxa"/>
          <w:right w:w="70" w:type="dxa"/>
        </w:tblCellMar>
        <w:tblLook w:val="04A0" w:firstRow="1" w:lastRow="0" w:firstColumn="1" w:lastColumn="0" w:noHBand="0" w:noVBand="1"/>
      </w:tblPr>
      <w:tblGrid>
        <w:gridCol w:w="4701"/>
        <w:gridCol w:w="1815"/>
      </w:tblGrid>
      <w:tr w:rsidR="008B4963" w:rsidRPr="00AE0354" w14:paraId="76105F41" w14:textId="77777777" w:rsidTr="0040215C">
        <w:trPr>
          <w:trHeight w:val="300"/>
        </w:trPr>
        <w:tc>
          <w:tcPr>
            <w:tcW w:w="4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9C90"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 xml:space="preserve">Taxação de renda mais alta </w:t>
            </w:r>
          </w:p>
        </w:tc>
        <w:tc>
          <w:tcPr>
            <w:tcW w:w="1815" w:type="dxa"/>
            <w:tcBorders>
              <w:top w:val="nil"/>
              <w:left w:val="nil"/>
              <w:bottom w:val="nil"/>
              <w:right w:val="nil"/>
            </w:tcBorders>
            <w:shd w:val="clear" w:color="000000" w:fill="FFFFFF"/>
            <w:noWrap/>
            <w:vAlign w:val="bottom"/>
            <w:hideMark/>
          </w:tcPr>
          <w:p w14:paraId="03412AB7"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 </w:t>
            </w:r>
          </w:p>
        </w:tc>
      </w:tr>
      <w:tr w:rsidR="008B4963" w:rsidRPr="00AE0354" w14:paraId="36AF9E54" w14:textId="77777777" w:rsidTr="0040215C">
        <w:trPr>
          <w:trHeight w:val="315"/>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6D234A55"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Alíquota será cobrada sobre soma de todas as rendas</w:t>
            </w:r>
          </w:p>
        </w:tc>
        <w:tc>
          <w:tcPr>
            <w:tcW w:w="1815" w:type="dxa"/>
            <w:tcBorders>
              <w:top w:val="nil"/>
              <w:left w:val="nil"/>
              <w:bottom w:val="nil"/>
              <w:right w:val="nil"/>
            </w:tcBorders>
            <w:shd w:val="clear" w:color="000000" w:fill="FFFFFF"/>
            <w:noWrap/>
            <w:vAlign w:val="bottom"/>
            <w:hideMark/>
          </w:tcPr>
          <w:p w14:paraId="7DE78A3F"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 </w:t>
            </w:r>
          </w:p>
        </w:tc>
      </w:tr>
      <w:tr w:rsidR="008B4963" w:rsidRPr="00AE0354" w14:paraId="3F777B5B" w14:textId="77777777" w:rsidTr="0040215C">
        <w:trPr>
          <w:trHeight w:val="315"/>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0A59D7B5"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Rendimento bruto ao ano</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14:paraId="33B4F067"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Imposto mínimo</w:t>
            </w:r>
          </w:p>
        </w:tc>
      </w:tr>
      <w:tr w:rsidR="008B4963" w:rsidRPr="00AE0354" w14:paraId="4FFCEF91"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65C42706"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R$ 600.000</w:t>
            </w:r>
          </w:p>
        </w:tc>
        <w:tc>
          <w:tcPr>
            <w:tcW w:w="1815" w:type="dxa"/>
            <w:tcBorders>
              <w:top w:val="nil"/>
              <w:left w:val="nil"/>
              <w:bottom w:val="single" w:sz="4" w:space="0" w:color="auto"/>
              <w:right w:val="single" w:sz="4" w:space="0" w:color="auto"/>
            </w:tcBorders>
            <w:shd w:val="clear" w:color="auto" w:fill="auto"/>
            <w:noWrap/>
            <w:vAlign w:val="bottom"/>
            <w:hideMark/>
          </w:tcPr>
          <w:p w14:paraId="311A10A2" w14:textId="77777777" w:rsidR="008B4963" w:rsidRPr="0040215C" w:rsidRDefault="008B4963" w:rsidP="00CC10A3">
            <w:pPr>
              <w:spacing w:after="0" w:line="240" w:lineRule="auto"/>
              <w:jc w:val="right"/>
              <w:rPr>
                <w:rFonts w:ascii="Arial" w:hAnsi="Arial" w:cs="Arial"/>
                <w:color w:val="000000"/>
              </w:rPr>
            </w:pPr>
            <w:r w:rsidRPr="0040215C">
              <w:rPr>
                <w:rFonts w:ascii="Arial" w:hAnsi="Arial" w:cs="Arial"/>
                <w:color w:val="000000"/>
              </w:rPr>
              <w:t>zero</w:t>
            </w:r>
          </w:p>
        </w:tc>
      </w:tr>
      <w:tr w:rsidR="008B4963" w:rsidRPr="00AE0354" w14:paraId="7E928403"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357F69EA"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R$ 720.000</w:t>
            </w:r>
          </w:p>
        </w:tc>
        <w:tc>
          <w:tcPr>
            <w:tcW w:w="1815" w:type="dxa"/>
            <w:tcBorders>
              <w:top w:val="nil"/>
              <w:left w:val="nil"/>
              <w:bottom w:val="single" w:sz="4" w:space="0" w:color="auto"/>
              <w:right w:val="single" w:sz="4" w:space="0" w:color="auto"/>
            </w:tcBorders>
            <w:shd w:val="clear" w:color="auto" w:fill="auto"/>
            <w:noWrap/>
            <w:vAlign w:val="bottom"/>
            <w:hideMark/>
          </w:tcPr>
          <w:p w14:paraId="740F007C" w14:textId="77777777" w:rsidR="008B4963" w:rsidRPr="0040215C" w:rsidRDefault="008B4963" w:rsidP="00CC10A3">
            <w:pPr>
              <w:spacing w:after="0" w:line="240" w:lineRule="auto"/>
              <w:jc w:val="right"/>
              <w:rPr>
                <w:rFonts w:ascii="Arial" w:hAnsi="Arial" w:cs="Arial"/>
                <w:color w:val="000000"/>
              </w:rPr>
            </w:pPr>
            <w:r w:rsidRPr="0040215C">
              <w:rPr>
                <w:rFonts w:ascii="Arial" w:hAnsi="Arial" w:cs="Arial"/>
                <w:color w:val="000000"/>
              </w:rPr>
              <w:t>2%</w:t>
            </w:r>
          </w:p>
        </w:tc>
      </w:tr>
      <w:tr w:rsidR="008B4963" w:rsidRPr="00AE0354" w14:paraId="4F1D60F9"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55DF67BE"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R$ 840.000</w:t>
            </w:r>
          </w:p>
        </w:tc>
        <w:tc>
          <w:tcPr>
            <w:tcW w:w="1815" w:type="dxa"/>
            <w:tcBorders>
              <w:top w:val="nil"/>
              <w:left w:val="nil"/>
              <w:bottom w:val="single" w:sz="4" w:space="0" w:color="auto"/>
              <w:right w:val="single" w:sz="4" w:space="0" w:color="auto"/>
            </w:tcBorders>
            <w:shd w:val="clear" w:color="auto" w:fill="auto"/>
            <w:noWrap/>
            <w:vAlign w:val="bottom"/>
            <w:hideMark/>
          </w:tcPr>
          <w:p w14:paraId="769BB937" w14:textId="77777777" w:rsidR="008B4963" w:rsidRPr="0040215C" w:rsidRDefault="008B4963" w:rsidP="00CC10A3">
            <w:pPr>
              <w:spacing w:after="0" w:line="240" w:lineRule="auto"/>
              <w:jc w:val="right"/>
              <w:rPr>
                <w:rFonts w:ascii="Arial" w:hAnsi="Arial" w:cs="Arial"/>
                <w:color w:val="000000"/>
              </w:rPr>
            </w:pPr>
            <w:r w:rsidRPr="0040215C">
              <w:rPr>
                <w:rFonts w:ascii="Arial" w:hAnsi="Arial" w:cs="Arial"/>
                <w:color w:val="000000"/>
              </w:rPr>
              <w:t>4%</w:t>
            </w:r>
          </w:p>
        </w:tc>
      </w:tr>
      <w:tr w:rsidR="008B4963" w:rsidRPr="00AE0354" w14:paraId="660A123E"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351E232C"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R$ 960.000</w:t>
            </w:r>
          </w:p>
        </w:tc>
        <w:tc>
          <w:tcPr>
            <w:tcW w:w="1815" w:type="dxa"/>
            <w:tcBorders>
              <w:top w:val="nil"/>
              <w:left w:val="nil"/>
              <w:bottom w:val="single" w:sz="4" w:space="0" w:color="auto"/>
              <w:right w:val="single" w:sz="4" w:space="0" w:color="auto"/>
            </w:tcBorders>
            <w:shd w:val="clear" w:color="auto" w:fill="auto"/>
            <w:noWrap/>
            <w:vAlign w:val="bottom"/>
            <w:hideMark/>
          </w:tcPr>
          <w:p w14:paraId="60382C58" w14:textId="77777777" w:rsidR="008B4963" w:rsidRPr="0040215C" w:rsidRDefault="008B4963" w:rsidP="00CC10A3">
            <w:pPr>
              <w:spacing w:after="0" w:line="240" w:lineRule="auto"/>
              <w:jc w:val="right"/>
              <w:rPr>
                <w:rFonts w:ascii="Arial" w:hAnsi="Arial" w:cs="Arial"/>
                <w:color w:val="000000"/>
              </w:rPr>
            </w:pPr>
            <w:r w:rsidRPr="0040215C">
              <w:rPr>
                <w:rFonts w:ascii="Arial" w:hAnsi="Arial" w:cs="Arial"/>
                <w:color w:val="000000"/>
              </w:rPr>
              <w:t>6%</w:t>
            </w:r>
          </w:p>
        </w:tc>
      </w:tr>
      <w:tr w:rsidR="008B4963" w:rsidRPr="00AE0354" w14:paraId="4A02124D"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2B6AD268"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R$ 1.080.000</w:t>
            </w:r>
          </w:p>
        </w:tc>
        <w:tc>
          <w:tcPr>
            <w:tcW w:w="1815" w:type="dxa"/>
            <w:tcBorders>
              <w:top w:val="nil"/>
              <w:left w:val="nil"/>
              <w:bottom w:val="single" w:sz="4" w:space="0" w:color="auto"/>
              <w:right w:val="single" w:sz="4" w:space="0" w:color="auto"/>
            </w:tcBorders>
            <w:shd w:val="clear" w:color="auto" w:fill="auto"/>
            <w:noWrap/>
            <w:vAlign w:val="bottom"/>
            <w:hideMark/>
          </w:tcPr>
          <w:p w14:paraId="3C169940" w14:textId="77777777" w:rsidR="008B4963" w:rsidRPr="0040215C" w:rsidRDefault="008B4963" w:rsidP="00CC10A3">
            <w:pPr>
              <w:spacing w:after="0" w:line="240" w:lineRule="auto"/>
              <w:jc w:val="right"/>
              <w:rPr>
                <w:rFonts w:ascii="Arial" w:hAnsi="Arial" w:cs="Arial"/>
                <w:color w:val="000000"/>
              </w:rPr>
            </w:pPr>
            <w:r w:rsidRPr="0040215C">
              <w:rPr>
                <w:rFonts w:ascii="Arial" w:hAnsi="Arial" w:cs="Arial"/>
                <w:color w:val="000000"/>
              </w:rPr>
              <w:t>8%</w:t>
            </w:r>
          </w:p>
        </w:tc>
      </w:tr>
      <w:tr w:rsidR="008B4963" w:rsidRPr="00AE0354" w14:paraId="0F85631B"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4C84FCF2" w14:textId="77777777" w:rsidR="008B4963" w:rsidRPr="0040215C" w:rsidRDefault="008B4963" w:rsidP="00CC10A3">
            <w:pPr>
              <w:spacing w:after="0" w:line="240" w:lineRule="auto"/>
              <w:rPr>
                <w:rFonts w:ascii="Arial" w:hAnsi="Arial" w:cs="Arial"/>
                <w:color w:val="000000"/>
              </w:rPr>
            </w:pPr>
            <w:r w:rsidRPr="0040215C">
              <w:rPr>
                <w:rFonts w:ascii="Arial" w:hAnsi="Arial" w:cs="Arial"/>
                <w:color w:val="000000"/>
              </w:rPr>
              <w:t>R$ 1.200.000</w:t>
            </w:r>
          </w:p>
        </w:tc>
        <w:tc>
          <w:tcPr>
            <w:tcW w:w="1815" w:type="dxa"/>
            <w:tcBorders>
              <w:top w:val="nil"/>
              <w:left w:val="nil"/>
              <w:bottom w:val="single" w:sz="4" w:space="0" w:color="auto"/>
              <w:right w:val="single" w:sz="4" w:space="0" w:color="auto"/>
            </w:tcBorders>
            <w:shd w:val="clear" w:color="auto" w:fill="auto"/>
            <w:noWrap/>
            <w:vAlign w:val="bottom"/>
            <w:hideMark/>
          </w:tcPr>
          <w:p w14:paraId="24E8BC1D" w14:textId="77777777" w:rsidR="008B4963" w:rsidRPr="0040215C" w:rsidRDefault="008B4963" w:rsidP="00CC10A3">
            <w:pPr>
              <w:spacing w:after="0" w:line="240" w:lineRule="auto"/>
              <w:jc w:val="right"/>
              <w:rPr>
                <w:rFonts w:ascii="Arial" w:hAnsi="Arial" w:cs="Arial"/>
                <w:color w:val="000000"/>
              </w:rPr>
            </w:pPr>
            <w:r w:rsidRPr="0040215C">
              <w:rPr>
                <w:rFonts w:ascii="Arial" w:hAnsi="Arial" w:cs="Arial"/>
                <w:color w:val="000000"/>
              </w:rPr>
              <w:t>10%</w:t>
            </w:r>
          </w:p>
        </w:tc>
      </w:tr>
    </w:tbl>
    <w:p w14:paraId="72D86311" w14:textId="77777777" w:rsidR="00C51DCF" w:rsidRDefault="00C51DCF" w:rsidP="0038702B">
      <w:pPr>
        <w:rPr>
          <w:rFonts w:ascii="Arial" w:hAnsi="Arial" w:cs="Arial"/>
          <w:b/>
          <w:sz w:val="28"/>
          <w:szCs w:val="28"/>
        </w:rPr>
      </w:pPr>
    </w:p>
    <w:p w14:paraId="2B8609EB" w14:textId="1D0B21AC" w:rsidR="00512583" w:rsidRDefault="00A12AA1" w:rsidP="00286E62">
      <w:pPr>
        <w:jc w:val="both"/>
        <w:rPr>
          <w:rFonts w:ascii="Arial" w:hAnsi="Arial" w:cs="Arial"/>
          <w:b/>
          <w:sz w:val="28"/>
          <w:szCs w:val="28"/>
        </w:rPr>
        <w:sectPr w:rsidR="00512583" w:rsidSect="00512583">
          <w:pgSz w:w="11906" w:h="16838"/>
          <w:pgMar w:top="1134" w:right="1418" w:bottom="709" w:left="1701" w:header="567" w:footer="567" w:gutter="0"/>
          <w:cols w:space="708"/>
          <w:docGrid w:linePitch="360"/>
        </w:sectPr>
      </w:pPr>
      <w:r>
        <w:rPr>
          <w:rFonts w:ascii="Arial" w:hAnsi="Arial" w:cs="Arial"/>
          <w:sz w:val="24"/>
          <w:szCs w:val="24"/>
        </w:rPr>
        <w:t>No caso as alíquotas se acrescem</w:t>
      </w:r>
      <w:r w:rsidRPr="007F68AC">
        <w:rPr>
          <w:rFonts w:ascii="Arial" w:hAnsi="Arial" w:cs="Arial"/>
          <w:sz w:val="24"/>
          <w:szCs w:val="24"/>
        </w:rPr>
        <w:t xml:space="preserve"> linear</w:t>
      </w:r>
      <w:r>
        <w:rPr>
          <w:rFonts w:ascii="Arial" w:hAnsi="Arial" w:cs="Arial"/>
          <w:sz w:val="24"/>
          <w:szCs w:val="24"/>
        </w:rPr>
        <w:t>mente</w:t>
      </w:r>
      <w:r w:rsidRPr="007F68AC">
        <w:rPr>
          <w:rFonts w:ascii="Arial" w:hAnsi="Arial" w:cs="Arial"/>
          <w:sz w:val="24"/>
          <w:szCs w:val="24"/>
        </w:rPr>
        <w:t xml:space="preserve"> começando com 600 mil em 0% e terminando em 10% de alíquota efetiva em 1</w:t>
      </w:r>
      <w:r>
        <w:rPr>
          <w:rFonts w:ascii="Arial" w:hAnsi="Arial" w:cs="Arial"/>
          <w:sz w:val="24"/>
          <w:szCs w:val="24"/>
        </w:rPr>
        <w:t>,2</w:t>
      </w:r>
      <w:r w:rsidRPr="007F68AC">
        <w:rPr>
          <w:rFonts w:ascii="Arial" w:hAnsi="Arial" w:cs="Arial"/>
          <w:sz w:val="24"/>
          <w:szCs w:val="24"/>
        </w:rPr>
        <w:t xml:space="preserve"> milhão</w:t>
      </w:r>
      <w:r>
        <w:rPr>
          <w:rFonts w:ascii="Arial" w:hAnsi="Arial" w:cs="Arial"/>
          <w:sz w:val="24"/>
          <w:szCs w:val="24"/>
        </w:rPr>
        <w:t>. A progressão foi escalonada em 6 partes, com acréscimo de 2 pontos percentuais a cada faixa. Desse modo temos o seguinte resultado:</w:t>
      </w:r>
    </w:p>
    <w:p w14:paraId="50374606" w14:textId="77777777" w:rsidR="00512583" w:rsidRDefault="00377426" w:rsidP="0038702B">
      <w:pPr>
        <w:rPr>
          <w:rFonts w:ascii="Arial" w:hAnsi="Arial" w:cs="Arial"/>
          <w:b/>
          <w:sz w:val="28"/>
          <w:szCs w:val="28"/>
        </w:rPr>
        <w:sectPr w:rsidR="00512583" w:rsidSect="00512583">
          <w:pgSz w:w="16838" w:h="11906" w:orient="landscape"/>
          <w:pgMar w:top="1701" w:right="1134" w:bottom="1418" w:left="709" w:header="567" w:footer="567" w:gutter="0"/>
          <w:cols w:space="708"/>
          <w:docGrid w:linePitch="360"/>
        </w:sectPr>
      </w:pPr>
      <w:r w:rsidRPr="009E1031">
        <w:rPr>
          <w:noProof/>
        </w:rPr>
        <w:drawing>
          <wp:inline distT="0" distB="0" distL="0" distR="0" wp14:anchorId="12663618" wp14:editId="7635E76B">
            <wp:extent cx="9313029" cy="5448300"/>
            <wp:effectExtent l="0" t="0" r="2540" b="0"/>
            <wp:docPr id="213667532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15143" cy="5449537"/>
                    </a:xfrm>
                    <a:prstGeom prst="rect">
                      <a:avLst/>
                    </a:prstGeom>
                    <a:noFill/>
                    <a:ln>
                      <a:noFill/>
                    </a:ln>
                  </pic:spPr>
                </pic:pic>
              </a:graphicData>
            </a:graphic>
          </wp:inline>
        </w:drawing>
      </w:r>
    </w:p>
    <w:p w14:paraId="753366F9" w14:textId="72E3FCFE" w:rsidR="00A96884" w:rsidRPr="00D1494C" w:rsidRDefault="00A96884" w:rsidP="00A96884">
      <w:pPr>
        <w:jc w:val="both"/>
        <w:rPr>
          <w:rFonts w:ascii="Arial" w:hAnsi="Arial" w:cs="Arial"/>
          <w:sz w:val="24"/>
          <w:szCs w:val="24"/>
        </w:rPr>
      </w:pPr>
      <w:r w:rsidRPr="00D1494C">
        <w:rPr>
          <w:rFonts w:ascii="Arial" w:hAnsi="Arial" w:cs="Arial"/>
          <w:sz w:val="24"/>
          <w:szCs w:val="24"/>
        </w:rPr>
        <w:t xml:space="preserve">A proposta de reestruturar a alíquota efetiva para contribuintes com rendimentos tributáveis anuais superiores a R$ </w:t>
      </w:r>
      <w:r>
        <w:rPr>
          <w:rFonts w:ascii="Arial" w:hAnsi="Arial" w:cs="Arial"/>
          <w:sz w:val="24"/>
          <w:szCs w:val="24"/>
        </w:rPr>
        <w:t>6</w:t>
      </w:r>
      <w:r w:rsidRPr="00D1494C">
        <w:rPr>
          <w:rFonts w:ascii="Arial" w:hAnsi="Arial" w:cs="Arial"/>
          <w:sz w:val="24"/>
          <w:szCs w:val="24"/>
        </w:rPr>
        <w:t>00 mil impactará diretamente um total de</w:t>
      </w:r>
      <w:r w:rsidR="008C0D51">
        <w:rPr>
          <w:rFonts w:ascii="Arial" w:hAnsi="Arial" w:cs="Arial"/>
          <w:sz w:val="24"/>
          <w:szCs w:val="24"/>
        </w:rPr>
        <w:t>, aproximadamente,</w:t>
      </w:r>
      <w:r w:rsidRPr="00D1494C">
        <w:rPr>
          <w:rFonts w:ascii="Arial" w:hAnsi="Arial" w:cs="Arial"/>
          <w:sz w:val="24"/>
          <w:szCs w:val="24"/>
        </w:rPr>
        <w:t xml:space="preserve"> </w:t>
      </w:r>
      <w:r w:rsidR="008C0D51">
        <w:rPr>
          <w:rFonts w:ascii="Arial" w:hAnsi="Arial" w:cs="Arial"/>
          <w:b/>
          <w:bCs/>
          <w:sz w:val="24"/>
          <w:szCs w:val="24"/>
        </w:rPr>
        <w:t>160 mil</w:t>
      </w:r>
      <w:r w:rsidRPr="00D1494C">
        <w:rPr>
          <w:rFonts w:ascii="Arial" w:hAnsi="Arial" w:cs="Arial"/>
          <w:b/>
          <w:bCs/>
          <w:sz w:val="24"/>
          <w:szCs w:val="24"/>
        </w:rPr>
        <w:t xml:space="preserve"> declarantes</w:t>
      </w:r>
      <w:r w:rsidRPr="00D1494C">
        <w:rPr>
          <w:rFonts w:ascii="Arial" w:hAnsi="Arial" w:cs="Arial"/>
          <w:sz w:val="24"/>
          <w:szCs w:val="24"/>
        </w:rPr>
        <w:t xml:space="preserve">. Estes contribuintes, que representam os mais altos níveis de renda do país, atualmente pagam alíquotas efetivas que, em muitos casos, estão significativamente abaixo de 10%, mesmo em faixas de rendimentos extremamente elevados, como acima de R$ 24,5 milhões anuais, cuja alíquota efetiva é de apenas 5,12%. A proposta consiste em ajustar essas alíquotas para pelo menos 10%, gerando uma arrecadação extra estimada em </w:t>
      </w:r>
      <w:r w:rsidRPr="00D1494C">
        <w:rPr>
          <w:rFonts w:ascii="Arial" w:hAnsi="Arial" w:cs="Arial"/>
          <w:b/>
          <w:bCs/>
          <w:sz w:val="24"/>
          <w:szCs w:val="24"/>
        </w:rPr>
        <w:t>R$ 4</w:t>
      </w:r>
      <w:r>
        <w:rPr>
          <w:rFonts w:ascii="Arial" w:hAnsi="Arial" w:cs="Arial"/>
          <w:b/>
          <w:bCs/>
          <w:sz w:val="24"/>
          <w:szCs w:val="24"/>
        </w:rPr>
        <w:t>1</w:t>
      </w:r>
      <w:r w:rsidRPr="00D1494C">
        <w:rPr>
          <w:rFonts w:ascii="Arial" w:hAnsi="Arial" w:cs="Arial"/>
          <w:b/>
          <w:bCs/>
          <w:sz w:val="24"/>
          <w:szCs w:val="24"/>
        </w:rPr>
        <w:t>,</w:t>
      </w:r>
      <w:r>
        <w:rPr>
          <w:rFonts w:ascii="Arial" w:hAnsi="Arial" w:cs="Arial"/>
          <w:b/>
          <w:bCs/>
          <w:sz w:val="24"/>
          <w:szCs w:val="24"/>
        </w:rPr>
        <w:t>7</w:t>
      </w:r>
      <w:r w:rsidRPr="00D1494C">
        <w:rPr>
          <w:rFonts w:ascii="Arial" w:hAnsi="Arial" w:cs="Arial"/>
          <w:b/>
          <w:bCs/>
          <w:sz w:val="24"/>
          <w:szCs w:val="24"/>
        </w:rPr>
        <w:t xml:space="preserve"> bilhões</w:t>
      </w:r>
      <w:r w:rsidRPr="00D1494C">
        <w:rPr>
          <w:rFonts w:ascii="Arial" w:hAnsi="Arial" w:cs="Arial"/>
          <w:sz w:val="24"/>
          <w:szCs w:val="24"/>
        </w:rPr>
        <w:t>.</w:t>
      </w:r>
    </w:p>
    <w:p w14:paraId="50025F2F" w14:textId="4576F861" w:rsidR="00A96884" w:rsidRDefault="00A96884" w:rsidP="00A96884">
      <w:pPr>
        <w:jc w:val="both"/>
        <w:rPr>
          <w:rFonts w:ascii="Arial" w:hAnsi="Arial" w:cs="Arial"/>
          <w:sz w:val="24"/>
          <w:szCs w:val="24"/>
        </w:rPr>
      </w:pPr>
      <w:r w:rsidRPr="00D1494C">
        <w:rPr>
          <w:rFonts w:ascii="Arial" w:hAnsi="Arial" w:cs="Arial"/>
          <w:sz w:val="24"/>
          <w:szCs w:val="24"/>
        </w:rPr>
        <w:t>Essa estimativa, entretanto, parte do pressuposto de que os contribuintes afetados não alterarão seu comportamento para minimizar o impacto da nova tributação. Ou seja, a metodologia não considera possíveis estratégias de planejamento tributário ou mesmo elisão fiscal que os declarantes possam adotar para reduzir sua exposição à nova alíquota. Caso tais comportamentos sejam adotados, o impacto real na arrecadação pode ser menor do que o previsto.</w:t>
      </w:r>
      <w:r>
        <w:rPr>
          <w:rFonts w:ascii="Arial" w:hAnsi="Arial" w:cs="Arial"/>
          <w:sz w:val="24"/>
          <w:szCs w:val="24"/>
        </w:rPr>
        <w:t xml:space="preserve"> Entretanto, </w:t>
      </w:r>
      <w:bookmarkStart w:id="1" w:name="_Hlk184658101"/>
      <w:r>
        <w:rPr>
          <w:rFonts w:ascii="Arial" w:hAnsi="Arial" w:cs="Arial"/>
          <w:sz w:val="24"/>
          <w:szCs w:val="24"/>
        </w:rPr>
        <w:t>a medida tem potencial para cobrir o impacto fiscal de R$ 35 bilhões da re</w:t>
      </w:r>
      <w:r w:rsidR="00EA6F15">
        <w:rPr>
          <w:rFonts w:ascii="Arial" w:hAnsi="Arial" w:cs="Arial"/>
          <w:sz w:val="24"/>
          <w:szCs w:val="24"/>
        </w:rPr>
        <w:t>e</w:t>
      </w:r>
      <w:r>
        <w:rPr>
          <w:rFonts w:ascii="Arial" w:hAnsi="Arial" w:cs="Arial"/>
          <w:sz w:val="24"/>
          <w:szCs w:val="24"/>
        </w:rPr>
        <w:t>struturação da base de contribuição</w:t>
      </w:r>
      <w:bookmarkEnd w:id="1"/>
      <w:r>
        <w:rPr>
          <w:rFonts w:ascii="Arial" w:hAnsi="Arial" w:cs="Arial"/>
          <w:sz w:val="24"/>
          <w:szCs w:val="24"/>
        </w:rPr>
        <w:t xml:space="preserve"> </w:t>
      </w:r>
      <w:r w:rsidRPr="007528BB">
        <w:rPr>
          <w:rFonts w:ascii="Arial" w:hAnsi="Arial" w:cs="Arial"/>
          <w:b/>
          <w:bCs/>
          <w:sz w:val="24"/>
          <w:szCs w:val="24"/>
        </w:rPr>
        <w:t>atingindo, assim, a almejada neutralidade fiscal</w:t>
      </w:r>
      <w:r>
        <w:rPr>
          <w:rFonts w:ascii="Arial" w:hAnsi="Arial" w:cs="Arial"/>
          <w:sz w:val="24"/>
          <w:szCs w:val="24"/>
        </w:rPr>
        <w:t xml:space="preserve">. </w:t>
      </w:r>
      <w:r w:rsidRPr="00D1494C">
        <w:rPr>
          <w:rFonts w:ascii="Arial" w:hAnsi="Arial" w:cs="Arial"/>
          <w:sz w:val="24"/>
          <w:szCs w:val="24"/>
        </w:rPr>
        <w:t>Mesmo assim, a medida tem como objetivo aumentar a progressividade do sistema tributário e garantir que aqueles que possuem maior capacidade contributiva contribuam de forma proporcionalmente maior, ajudando a compensar as perdas fiscais geradas pela desoneração das faixas de renda mais baixas e médias, prevista na reforma tributária</w:t>
      </w:r>
      <w:r>
        <w:rPr>
          <w:rFonts w:ascii="Arial" w:hAnsi="Arial" w:cs="Arial"/>
          <w:sz w:val="24"/>
          <w:szCs w:val="24"/>
        </w:rPr>
        <w:t>, apesar de não corrigir toda a injustiça fiscal.</w:t>
      </w:r>
    </w:p>
    <w:p w14:paraId="060A6A51" w14:textId="6E781924" w:rsidR="00A96884" w:rsidRDefault="00A96884" w:rsidP="00A96884">
      <w:pPr>
        <w:jc w:val="both"/>
        <w:rPr>
          <w:rFonts w:ascii="Arial" w:hAnsi="Arial" w:cs="Arial"/>
          <w:sz w:val="24"/>
          <w:szCs w:val="24"/>
        </w:rPr>
      </w:pPr>
      <w:r w:rsidRPr="009E1031">
        <w:rPr>
          <w:rFonts w:ascii="Arial" w:hAnsi="Arial" w:cs="Arial"/>
          <w:sz w:val="24"/>
          <w:szCs w:val="24"/>
        </w:rPr>
        <w:t xml:space="preserve">A tabela a seguir apresenta uma nova estrutura de faixas de tributação, divididas por centis de renda, com alíquotas efetivas mínimas elevadas em relação à proposta anterior. Agora, a progressividade é maior, podendo chegar a </w:t>
      </w:r>
      <w:r>
        <w:rPr>
          <w:rFonts w:ascii="Arial" w:hAnsi="Arial" w:cs="Arial"/>
          <w:sz w:val="24"/>
          <w:szCs w:val="24"/>
        </w:rPr>
        <w:t>12,8</w:t>
      </w:r>
      <w:r w:rsidRPr="009E1031">
        <w:rPr>
          <w:rFonts w:ascii="Arial" w:hAnsi="Arial" w:cs="Arial"/>
          <w:sz w:val="24"/>
          <w:szCs w:val="24"/>
        </w:rPr>
        <w:t xml:space="preserve">% </w:t>
      </w:r>
      <w:r>
        <w:rPr>
          <w:rFonts w:ascii="Arial" w:hAnsi="Arial" w:cs="Arial"/>
          <w:sz w:val="24"/>
          <w:szCs w:val="24"/>
        </w:rPr>
        <w:t>nas maiores</w:t>
      </w:r>
      <w:r w:rsidRPr="009E1031">
        <w:rPr>
          <w:rFonts w:ascii="Arial" w:hAnsi="Arial" w:cs="Arial"/>
          <w:sz w:val="24"/>
          <w:szCs w:val="24"/>
        </w:rPr>
        <w:t xml:space="preserve"> faixas, o que </w:t>
      </w:r>
      <w:r>
        <w:rPr>
          <w:rFonts w:ascii="Arial" w:hAnsi="Arial" w:cs="Arial"/>
          <w:sz w:val="24"/>
          <w:szCs w:val="24"/>
        </w:rPr>
        <w:t>aumentou em 2,8</w:t>
      </w:r>
      <w:r w:rsidR="008A22A3">
        <w:rPr>
          <w:rFonts w:ascii="Arial" w:hAnsi="Arial" w:cs="Arial"/>
          <w:sz w:val="24"/>
          <w:szCs w:val="24"/>
        </w:rPr>
        <w:t xml:space="preserve"> </w:t>
      </w:r>
      <w:r>
        <w:rPr>
          <w:rFonts w:ascii="Arial" w:hAnsi="Arial" w:cs="Arial"/>
          <w:sz w:val="24"/>
          <w:szCs w:val="24"/>
        </w:rPr>
        <w:t>p</w:t>
      </w:r>
      <w:r w:rsidR="008A22A3">
        <w:rPr>
          <w:rFonts w:ascii="Arial" w:hAnsi="Arial" w:cs="Arial"/>
          <w:sz w:val="24"/>
          <w:szCs w:val="24"/>
        </w:rPr>
        <w:t>.</w:t>
      </w:r>
      <w:r>
        <w:rPr>
          <w:rFonts w:ascii="Arial" w:hAnsi="Arial" w:cs="Arial"/>
          <w:sz w:val="24"/>
          <w:szCs w:val="24"/>
        </w:rPr>
        <w:t>p</w:t>
      </w:r>
      <w:r w:rsidRPr="009E1031">
        <w:rPr>
          <w:rFonts w:ascii="Arial" w:hAnsi="Arial" w:cs="Arial"/>
          <w:sz w:val="24"/>
          <w:szCs w:val="24"/>
        </w:rPr>
        <w:t xml:space="preserve"> o limite máximo de tributação antes estipulado em 10%. Cada linha destaca, além da faixa de renda, o número estimado de declarantes impactados, a renda total tributável, a arrecadação atual</w:t>
      </w:r>
      <w:r w:rsidR="00E657A8">
        <w:rPr>
          <w:rFonts w:ascii="Arial" w:hAnsi="Arial" w:cs="Arial"/>
          <w:sz w:val="24"/>
          <w:szCs w:val="24"/>
        </w:rPr>
        <w:t xml:space="preserve"> e</w:t>
      </w:r>
      <w:r w:rsidRPr="009E1031">
        <w:rPr>
          <w:rFonts w:ascii="Arial" w:hAnsi="Arial" w:cs="Arial"/>
          <w:sz w:val="24"/>
          <w:szCs w:val="24"/>
        </w:rPr>
        <w:t xml:space="preserve"> a alíquota efetiva praticada hoje, a alíquota mínima proposta e a arrecadação potencialmente adicional. Dessa forma, a tabela evidencia o impacto da intensificação da tributação sobre os contribuintes de mais alta renda e o consequente aumento esperado da arrecadação.</w:t>
      </w:r>
    </w:p>
    <w:p w14:paraId="589D498A" w14:textId="77777777" w:rsidR="00A96884" w:rsidRDefault="00A96884" w:rsidP="00A96884">
      <w:pPr>
        <w:jc w:val="both"/>
        <w:rPr>
          <w:rFonts w:ascii="Arial" w:hAnsi="Arial" w:cs="Arial"/>
          <w:sz w:val="24"/>
          <w:szCs w:val="24"/>
        </w:rPr>
      </w:pPr>
    </w:p>
    <w:tbl>
      <w:tblPr>
        <w:tblW w:w="6516" w:type="dxa"/>
        <w:tblCellMar>
          <w:left w:w="70" w:type="dxa"/>
          <w:right w:w="70" w:type="dxa"/>
        </w:tblCellMar>
        <w:tblLook w:val="04A0" w:firstRow="1" w:lastRow="0" w:firstColumn="1" w:lastColumn="0" w:noHBand="0" w:noVBand="1"/>
      </w:tblPr>
      <w:tblGrid>
        <w:gridCol w:w="4701"/>
        <w:gridCol w:w="1815"/>
      </w:tblGrid>
      <w:tr w:rsidR="0084727F" w:rsidRPr="0040215C" w14:paraId="64772C5A" w14:textId="77777777" w:rsidTr="0040215C">
        <w:trPr>
          <w:trHeight w:val="300"/>
        </w:trPr>
        <w:tc>
          <w:tcPr>
            <w:tcW w:w="4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663A" w14:textId="77777777" w:rsidR="0084727F" w:rsidRPr="0040215C" w:rsidRDefault="0084727F" w:rsidP="00CC10A3">
            <w:pPr>
              <w:spacing w:after="0" w:line="240" w:lineRule="auto"/>
              <w:rPr>
                <w:rFonts w:ascii="Arial" w:hAnsi="Arial" w:cs="Arial"/>
                <w:color w:val="000000"/>
              </w:rPr>
            </w:pPr>
            <w:bookmarkStart w:id="2" w:name="_Hlk184901714"/>
            <w:r w:rsidRPr="0040215C">
              <w:rPr>
                <w:rFonts w:ascii="Arial" w:hAnsi="Arial" w:cs="Arial"/>
                <w:color w:val="000000"/>
              </w:rPr>
              <w:t xml:space="preserve">Taxação de renda mais alta </w:t>
            </w:r>
          </w:p>
        </w:tc>
        <w:tc>
          <w:tcPr>
            <w:tcW w:w="1815" w:type="dxa"/>
            <w:tcBorders>
              <w:top w:val="nil"/>
              <w:left w:val="nil"/>
              <w:bottom w:val="nil"/>
              <w:right w:val="nil"/>
            </w:tcBorders>
            <w:shd w:val="clear" w:color="000000" w:fill="FFFFFF"/>
            <w:noWrap/>
            <w:vAlign w:val="bottom"/>
            <w:hideMark/>
          </w:tcPr>
          <w:p w14:paraId="6AA8B00F"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 </w:t>
            </w:r>
          </w:p>
        </w:tc>
      </w:tr>
      <w:tr w:rsidR="0084727F" w:rsidRPr="0040215C" w14:paraId="7342D8F0" w14:textId="77777777" w:rsidTr="0040215C">
        <w:trPr>
          <w:trHeight w:val="315"/>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4AED7108"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Alíquota será cobrada sobre soma de todas as rendas</w:t>
            </w:r>
          </w:p>
        </w:tc>
        <w:tc>
          <w:tcPr>
            <w:tcW w:w="1815" w:type="dxa"/>
            <w:tcBorders>
              <w:top w:val="nil"/>
              <w:left w:val="nil"/>
              <w:bottom w:val="nil"/>
              <w:right w:val="nil"/>
            </w:tcBorders>
            <w:shd w:val="clear" w:color="000000" w:fill="FFFFFF"/>
            <w:noWrap/>
            <w:vAlign w:val="bottom"/>
            <w:hideMark/>
          </w:tcPr>
          <w:p w14:paraId="12160ECF"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 </w:t>
            </w:r>
          </w:p>
        </w:tc>
      </w:tr>
      <w:tr w:rsidR="0084727F" w:rsidRPr="0040215C" w14:paraId="006338A2" w14:textId="77777777" w:rsidTr="0040215C">
        <w:trPr>
          <w:trHeight w:val="315"/>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668962CD"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Rendimento bruto ao ano</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14:paraId="3FA036CD"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Imposto mínimo</w:t>
            </w:r>
          </w:p>
        </w:tc>
      </w:tr>
      <w:tr w:rsidR="0084727F" w:rsidRPr="0040215C" w14:paraId="55E2820E"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79805060"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R$ 600.000</w:t>
            </w:r>
          </w:p>
        </w:tc>
        <w:tc>
          <w:tcPr>
            <w:tcW w:w="1815" w:type="dxa"/>
            <w:tcBorders>
              <w:top w:val="nil"/>
              <w:left w:val="nil"/>
              <w:bottom w:val="single" w:sz="4" w:space="0" w:color="auto"/>
              <w:right w:val="single" w:sz="4" w:space="0" w:color="auto"/>
            </w:tcBorders>
            <w:shd w:val="clear" w:color="auto" w:fill="auto"/>
            <w:noWrap/>
            <w:vAlign w:val="bottom"/>
            <w:hideMark/>
          </w:tcPr>
          <w:p w14:paraId="4A98758D" w14:textId="77777777" w:rsidR="0084727F" w:rsidRPr="0040215C" w:rsidRDefault="0084727F" w:rsidP="00CC10A3">
            <w:pPr>
              <w:spacing w:after="0" w:line="240" w:lineRule="auto"/>
              <w:jc w:val="right"/>
              <w:rPr>
                <w:rFonts w:ascii="Arial" w:hAnsi="Arial" w:cs="Arial"/>
                <w:color w:val="000000"/>
              </w:rPr>
            </w:pPr>
            <w:r w:rsidRPr="0040215C">
              <w:rPr>
                <w:rFonts w:ascii="Arial" w:hAnsi="Arial" w:cs="Arial"/>
                <w:color w:val="000000"/>
              </w:rPr>
              <w:t>zero</w:t>
            </w:r>
          </w:p>
        </w:tc>
      </w:tr>
      <w:tr w:rsidR="0084727F" w:rsidRPr="0040215C" w14:paraId="7D8F3835"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6DA43923"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R$ 720.000</w:t>
            </w:r>
          </w:p>
        </w:tc>
        <w:tc>
          <w:tcPr>
            <w:tcW w:w="1815" w:type="dxa"/>
            <w:tcBorders>
              <w:top w:val="nil"/>
              <w:left w:val="nil"/>
              <w:bottom w:val="single" w:sz="4" w:space="0" w:color="auto"/>
              <w:right w:val="single" w:sz="4" w:space="0" w:color="auto"/>
            </w:tcBorders>
            <w:shd w:val="clear" w:color="auto" w:fill="auto"/>
            <w:noWrap/>
            <w:vAlign w:val="bottom"/>
            <w:hideMark/>
          </w:tcPr>
          <w:p w14:paraId="5030DCB0" w14:textId="77777777" w:rsidR="0084727F" w:rsidRPr="0040215C" w:rsidRDefault="0084727F" w:rsidP="00CC10A3">
            <w:pPr>
              <w:spacing w:after="0" w:line="240" w:lineRule="auto"/>
              <w:jc w:val="right"/>
              <w:rPr>
                <w:rFonts w:ascii="Arial" w:hAnsi="Arial" w:cs="Arial"/>
                <w:color w:val="000000"/>
              </w:rPr>
            </w:pPr>
            <w:r w:rsidRPr="0040215C">
              <w:rPr>
                <w:rFonts w:ascii="Arial" w:hAnsi="Arial" w:cs="Arial"/>
                <w:color w:val="000000"/>
              </w:rPr>
              <w:t>2,5%</w:t>
            </w:r>
          </w:p>
        </w:tc>
      </w:tr>
      <w:tr w:rsidR="0084727F" w:rsidRPr="0040215C" w14:paraId="41D68271"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7A6C3526"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R$ 840.000</w:t>
            </w:r>
          </w:p>
        </w:tc>
        <w:tc>
          <w:tcPr>
            <w:tcW w:w="1815" w:type="dxa"/>
            <w:tcBorders>
              <w:top w:val="nil"/>
              <w:left w:val="nil"/>
              <w:bottom w:val="single" w:sz="4" w:space="0" w:color="auto"/>
              <w:right w:val="single" w:sz="4" w:space="0" w:color="auto"/>
            </w:tcBorders>
            <w:shd w:val="clear" w:color="auto" w:fill="auto"/>
            <w:noWrap/>
            <w:vAlign w:val="bottom"/>
            <w:hideMark/>
          </w:tcPr>
          <w:p w14:paraId="243FE23A" w14:textId="77777777" w:rsidR="0084727F" w:rsidRPr="0040215C" w:rsidRDefault="0084727F" w:rsidP="00CC10A3">
            <w:pPr>
              <w:spacing w:after="0" w:line="240" w:lineRule="auto"/>
              <w:jc w:val="right"/>
              <w:rPr>
                <w:rFonts w:ascii="Arial" w:hAnsi="Arial" w:cs="Arial"/>
                <w:color w:val="000000"/>
              </w:rPr>
            </w:pPr>
            <w:r w:rsidRPr="0040215C">
              <w:rPr>
                <w:rFonts w:ascii="Arial" w:hAnsi="Arial" w:cs="Arial"/>
                <w:color w:val="000000"/>
              </w:rPr>
              <w:t>5%</w:t>
            </w:r>
          </w:p>
        </w:tc>
      </w:tr>
      <w:tr w:rsidR="0084727F" w:rsidRPr="0040215C" w14:paraId="3B1F5EE1"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5D570BCE"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R$ 960.000</w:t>
            </w:r>
          </w:p>
        </w:tc>
        <w:tc>
          <w:tcPr>
            <w:tcW w:w="1815" w:type="dxa"/>
            <w:tcBorders>
              <w:top w:val="nil"/>
              <w:left w:val="nil"/>
              <w:bottom w:val="single" w:sz="4" w:space="0" w:color="auto"/>
              <w:right w:val="single" w:sz="4" w:space="0" w:color="auto"/>
            </w:tcBorders>
            <w:shd w:val="clear" w:color="auto" w:fill="auto"/>
            <w:noWrap/>
            <w:vAlign w:val="bottom"/>
            <w:hideMark/>
          </w:tcPr>
          <w:p w14:paraId="6F6CC71C" w14:textId="77777777" w:rsidR="0084727F" w:rsidRPr="0040215C" w:rsidRDefault="0084727F" w:rsidP="00CC10A3">
            <w:pPr>
              <w:spacing w:after="0" w:line="240" w:lineRule="auto"/>
              <w:jc w:val="right"/>
              <w:rPr>
                <w:rFonts w:ascii="Arial" w:hAnsi="Arial" w:cs="Arial"/>
                <w:color w:val="000000"/>
              </w:rPr>
            </w:pPr>
            <w:r w:rsidRPr="0040215C">
              <w:rPr>
                <w:rFonts w:ascii="Arial" w:hAnsi="Arial" w:cs="Arial"/>
                <w:color w:val="000000"/>
              </w:rPr>
              <w:t>7,5%</w:t>
            </w:r>
          </w:p>
        </w:tc>
      </w:tr>
      <w:tr w:rsidR="0084727F" w:rsidRPr="0040215C" w14:paraId="2F8A2BF3"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3D87B22F"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R$ 1.080.000</w:t>
            </w:r>
          </w:p>
        </w:tc>
        <w:tc>
          <w:tcPr>
            <w:tcW w:w="1815" w:type="dxa"/>
            <w:tcBorders>
              <w:top w:val="nil"/>
              <w:left w:val="nil"/>
              <w:bottom w:val="single" w:sz="4" w:space="0" w:color="auto"/>
              <w:right w:val="single" w:sz="4" w:space="0" w:color="auto"/>
            </w:tcBorders>
            <w:shd w:val="clear" w:color="auto" w:fill="auto"/>
            <w:noWrap/>
            <w:vAlign w:val="bottom"/>
            <w:hideMark/>
          </w:tcPr>
          <w:p w14:paraId="19CB83C0" w14:textId="77777777" w:rsidR="0084727F" w:rsidRPr="0040215C" w:rsidRDefault="0084727F" w:rsidP="00CC10A3">
            <w:pPr>
              <w:spacing w:after="0" w:line="240" w:lineRule="auto"/>
              <w:jc w:val="right"/>
              <w:rPr>
                <w:rFonts w:ascii="Arial" w:hAnsi="Arial" w:cs="Arial"/>
                <w:color w:val="000000"/>
              </w:rPr>
            </w:pPr>
            <w:r w:rsidRPr="0040215C">
              <w:rPr>
                <w:rFonts w:ascii="Arial" w:hAnsi="Arial" w:cs="Arial"/>
                <w:color w:val="000000"/>
              </w:rPr>
              <w:t>10%</w:t>
            </w:r>
          </w:p>
        </w:tc>
      </w:tr>
      <w:tr w:rsidR="0084727F" w:rsidRPr="0040215C" w14:paraId="7CA6C7C1" w14:textId="77777777" w:rsidTr="0040215C">
        <w:trPr>
          <w:trHeight w:val="300"/>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62C4E2E4" w14:textId="77777777" w:rsidR="0084727F" w:rsidRPr="0040215C" w:rsidRDefault="0084727F" w:rsidP="00CC10A3">
            <w:pPr>
              <w:spacing w:after="0" w:line="240" w:lineRule="auto"/>
              <w:rPr>
                <w:rFonts w:ascii="Arial" w:hAnsi="Arial" w:cs="Arial"/>
                <w:color w:val="000000"/>
              </w:rPr>
            </w:pPr>
            <w:r w:rsidRPr="0040215C">
              <w:rPr>
                <w:rFonts w:ascii="Arial" w:hAnsi="Arial" w:cs="Arial"/>
                <w:color w:val="000000"/>
              </w:rPr>
              <w:t>R$ 1.200.000</w:t>
            </w:r>
          </w:p>
        </w:tc>
        <w:tc>
          <w:tcPr>
            <w:tcW w:w="1815" w:type="dxa"/>
            <w:tcBorders>
              <w:top w:val="nil"/>
              <w:left w:val="nil"/>
              <w:bottom w:val="single" w:sz="4" w:space="0" w:color="auto"/>
              <w:right w:val="single" w:sz="4" w:space="0" w:color="auto"/>
            </w:tcBorders>
            <w:shd w:val="clear" w:color="auto" w:fill="auto"/>
            <w:noWrap/>
            <w:vAlign w:val="bottom"/>
            <w:hideMark/>
          </w:tcPr>
          <w:p w14:paraId="364127F6" w14:textId="77777777" w:rsidR="0084727F" w:rsidRPr="0040215C" w:rsidRDefault="0084727F" w:rsidP="00CC10A3">
            <w:pPr>
              <w:spacing w:after="0" w:line="240" w:lineRule="auto"/>
              <w:jc w:val="right"/>
              <w:rPr>
                <w:rFonts w:ascii="Arial" w:hAnsi="Arial" w:cs="Arial"/>
                <w:color w:val="000000"/>
              </w:rPr>
            </w:pPr>
            <w:r w:rsidRPr="0040215C">
              <w:rPr>
                <w:rFonts w:ascii="Arial" w:hAnsi="Arial" w:cs="Arial"/>
                <w:color w:val="000000"/>
              </w:rPr>
              <w:t>12,8%</w:t>
            </w:r>
          </w:p>
        </w:tc>
      </w:tr>
      <w:bookmarkEnd w:id="2"/>
    </w:tbl>
    <w:p w14:paraId="628075C8" w14:textId="77777777" w:rsidR="00A96884" w:rsidRDefault="00A96884" w:rsidP="0038702B">
      <w:pPr>
        <w:rPr>
          <w:rFonts w:ascii="Arial" w:hAnsi="Arial" w:cs="Arial"/>
          <w:b/>
          <w:sz w:val="28"/>
          <w:szCs w:val="28"/>
        </w:rPr>
      </w:pPr>
    </w:p>
    <w:p w14:paraId="73864338" w14:textId="77777777" w:rsidR="00512583" w:rsidRDefault="00512583" w:rsidP="0038702B">
      <w:pPr>
        <w:rPr>
          <w:rFonts w:ascii="Arial" w:hAnsi="Arial" w:cs="Arial"/>
          <w:b/>
          <w:sz w:val="28"/>
          <w:szCs w:val="28"/>
        </w:rPr>
        <w:sectPr w:rsidR="00512583" w:rsidSect="00512583">
          <w:pgSz w:w="11906" w:h="16838"/>
          <w:pgMar w:top="1134" w:right="1418" w:bottom="709" w:left="1701" w:header="567" w:footer="567" w:gutter="0"/>
          <w:cols w:space="708"/>
          <w:docGrid w:linePitch="360"/>
        </w:sectPr>
      </w:pPr>
    </w:p>
    <w:p w14:paraId="00CDC2E5" w14:textId="77777777" w:rsidR="00512583" w:rsidRDefault="00FA04E1" w:rsidP="0038702B">
      <w:pPr>
        <w:rPr>
          <w:rFonts w:ascii="Arial" w:hAnsi="Arial" w:cs="Arial"/>
          <w:b/>
          <w:sz w:val="28"/>
          <w:szCs w:val="28"/>
        </w:rPr>
        <w:sectPr w:rsidR="00512583" w:rsidSect="00512583">
          <w:pgSz w:w="16838" w:h="11906" w:orient="landscape"/>
          <w:pgMar w:top="1701" w:right="1134" w:bottom="1418" w:left="709" w:header="567" w:footer="567" w:gutter="0"/>
          <w:cols w:space="708"/>
          <w:docGrid w:linePitch="360"/>
        </w:sectPr>
      </w:pPr>
      <w:r w:rsidRPr="007528BB">
        <w:rPr>
          <w:noProof/>
        </w:rPr>
        <w:drawing>
          <wp:inline distT="0" distB="0" distL="0" distR="0" wp14:anchorId="7F7D8314" wp14:editId="0D1A968C">
            <wp:extent cx="8891270" cy="4600575"/>
            <wp:effectExtent l="0" t="0" r="5080" b="9525"/>
            <wp:docPr id="177816274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4600575"/>
                    </a:xfrm>
                    <a:prstGeom prst="rect">
                      <a:avLst/>
                    </a:prstGeom>
                    <a:noFill/>
                    <a:ln>
                      <a:noFill/>
                    </a:ln>
                  </pic:spPr>
                </pic:pic>
              </a:graphicData>
            </a:graphic>
          </wp:inline>
        </w:drawing>
      </w:r>
    </w:p>
    <w:p w14:paraId="5CEB8811" w14:textId="20BF6B45" w:rsidR="008B4DE4" w:rsidRPr="003020ED" w:rsidRDefault="008B4DE4" w:rsidP="003020ED">
      <w:pPr>
        <w:jc w:val="both"/>
        <w:rPr>
          <w:rFonts w:ascii="Arial" w:hAnsi="Arial" w:cs="Arial"/>
          <w:bCs/>
          <w:sz w:val="24"/>
          <w:szCs w:val="24"/>
        </w:rPr>
      </w:pPr>
      <w:r w:rsidRPr="003020ED">
        <w:rPr>
          <w:rFonts w:ascii="Arial" w:hAnsi="Arial" w:cs="Arial"/>
          <w:bCs/>
          <w:sz w:val="24"/>
          <w:szCs w:val="24"/>
        </w:rPr>
        <w:t>A t</w:t>
      </w:r>
      <w:r w:rsidRPr="003020ED">
        <w:rPr>
          <w:rFonts w:ascii="Arial" w:hAnsi="Arial" w:cs="Arial"/>
          <w:bCs/>
          <w:sz w:val="24"/>
          <w:szCs w:val="24"/>
        </w:rPr>
        <w:t>ít</w:t>
      </w:r>
      <w:r w:rsidRPr="003020ED">
        <w:rPr>
          <w:rFonts w:ascii="Arial" w:hAnsi="Arial" w:cs="Arial"/>
          <w:bCs/>
          <w:sz w:val="24"/>
          <w:szCs w:val="24"/>
        </w:rPr>
        <w:t xml:space="preserve">ulo comparativo, </w:t>
      </w:r>
      <w:r w:rsidRPr="003020ED">
        <w:rPr>
          <w:rFonts w:ascii="Arial" w:hAnsi="Arial" w:cs="Arial"/>
          <w:bCs/>
          <w:sz w:val="24"/>
          <w:szCs w:val="24"/>
        </w:rPr>
        <w:t xml:space="preserve">o Sindifisco Nacional </w:t>
      </w:r>
      <w:r w:rsidR="002D4697" w:rsidRPr="003020ED">
        <w:rPr>
          <w:rFonts w:ascii="Arial" w:hAnsi="Arial" w:cs="Arial"/>
          <w:bCs/>
          <w:sz w:val="24"/>
          <w:szCs w:val="24"/>
        </w:rPr>
        <w:t>traz</w:t>
      </w:r>
      <w:r w:rsidRPr="003020ED">
        <w:rPr>
          <w:rFonts w:ascii="Arial" w:hAnsi="Arial" w:cs="Arial"/>
          <w:bCs/>
          <w:sz w:val="24"/>
          <w:szCs w:val="24"/>
        </w:rPr>
        <w:t xml:space="preserve"> </w:t>
      </w:r>
      <w:r w:rsidR="00F83877">
        <w:rPr>
          <w:rFonts w:ascii="Arial" w:hAnsi="Arial" w:cs="Arial"/>
          <w:bCs/>
          <w:sz w:val="24"/>
          <w:szCs w:val="24"/>
        </w:rPr>
        <w:t>tal</w:t>
      </w:r>
      <w:r w:rsidRPr="003020ED">
        <w:rPr>
          <w:rFonts w:ascii="Arial" w:hAnsi="Arial" w:cs="Arial"/>
          <w:bCs/>
          <w:sz w:val="24"/>
          <w:szCs w:val="24"/>
        </w:rPr>
        <w:t xml:space="preserve"> simulação </w:t>
      </w:r>
      <w:r w:rsidR="002D4697" w:rsidRPr="003020ED">
        <w:rPr>
          <w:rFonts w:ascii="Arial" w:hAnsi="Arial" w:cs="Arial"/>
          <w:bCs/>
          <w:sz w:val="24"/>
          <w:szCs w:val="24"/>
        </w:rPr>
        <w:t>em que os milionários pagam a mesma alíquota efetiva que os professores universitários, de 12,8%. O</w:t>
      </w:r>
      <w:r w:rsidRPr="003020ED">
        <w:rPr>
          <w:rFonts w:ascii="Arial" w:hAnsi="Arial" w:cs="Arial"/>
          <w:bCs/>
          <w:sz w:val="24"/>
          <w:szCs w:val="24"/>
        </w:rPr>
        <w:t xml:space="preserve">s </w:t>
      </w:r>
      <w:r w:rsidR="002D4697" w:rsidRPr="003020ED">
        <w:rPr>
          <w:rFonts w:ascii="Arial" w:hAnsi="Arial" w:cs="Arial"/>
          <w:bCs/>
          <w:sz w:val="24"/>
          <w:szCs w:val="24"/>
        </w:rPr>
        <w:t>educadores</w:t>
      </w:r>
      <w:r w:rsidRPr="003020ED">
        <w:rPr>
          <w:rFonts w:ascii="Arial" w:hAnsi="Arial" w:cs="Arial"/>
          <w:bCs/>
          <w:sz w:val="24"/>
          <w:szCs w:val="24"/>
        </w:rPr>
        <w:t xml:space="preserve"> não são uma categoria profissional conhecida por seus altos salários, pelo contrário.</w:t>
      </w:r>
      <w:r w:rsidR="002D4697" w:rsidRPr="003020ED">
        <w:rPr>
          <w:rFonts w:ascii="Arial" w:hAnsi="Arial" w:cs="Arial"/>
          <w:bCs/>
          <w:sz w:val="24"/>
          <w:szCs w:val="24"/>
        </w:rPr>
        <w:t xml:space="preserve"> Atualmente, eles pagam uma alíquota que chega a ser o dobro da contribuição dos milionários, o que não é justo e tampouco constitucional, pois não respeita o princípio da capacidade contributiva. Dentro desse cenário, o exercício proposto pelo sindicato demonstra que esse pequeno acréscimo, de 2,8% em cima da possível proposta do Governo Federal, poderia trazer um acréscimo de R$ 35,5 bilhões</w:t>
      </w:r>
      <w:r w:rsidR="00F83877">
        <w:rPr>
          <w:rFonts w:ascii="Arial" w:hAnsi="Arial" w:cs="Arial"/>
          <w:bCs/>
          <w:sz w:val="24"/>
          <w:szCs w:val="24"/>
        </w:rPr>
        <w:t xml:space="preserve"> para a arrecadação</w:t>
      </w:r>
      <w:r w:rsidR="003020ED" w:rsidRPr="003020ED">
        <w:rPr>
          <w:rFonts w:ascii="Arial" w:hAnsi="Arial" w:cs="Arial"/>
          <w:bCs/>
          <w:sz w:val="24"/>
          <w:szCs w:val="24"/>
        </w:rPr>
        <w:t xml:space="preserve">. Tal ação seria suficiente para revolucionar a segurança pública no país, pois equivale </w:t>
      </w:r>
      <w:r w:rsidR="003020ED" w:rsidRPr="003020ED">
        <w:rPr>
          <w:rFonts w:ascii="Arial" w:hAnsi="Arial" w:cs="Arial"/>
          <w:bCs/>
          <w:sz w:val="24"/>
          <w:szCs w:val="24"/>
        </w:rPr>
        <w:t xml:space="preserve">ao gasto </w:t>
      </w:r>
      <w:r w:rsidR="00F83877">
        <w:rPr>
          <w:rFonts w:ascii="Arial" w:hAnsi="Arial" w:cs="Arial"/>
          <w:bCs/>
          <w:sz w:val="24"/>
          <w:szCs w:val="24"/>
        </w:rPr>
        <w:t>com a pasta</w:t>
      </w:r>
      <w:r w:rsidR="003020ED" w:rsidRPr="003020ED">
        <w:rPr>
          <w:rFonts w:ascii="Arial" w:hAnsi="Arial" w:cs="Arial"/>
          <w:bCs/>
          <w:sz w:val="24"/>
          <w:szCs w:val="24"/>
        </w:rPr>
        <w:t xml:space="preserve"> realizado em 2023 por todos os estados do Nordeste e Centro-Oeste juntos, segundo informações do Anuário Brasileiro de Segurança Pública. </w:t>
      </w:r>
      <w:r w:rsidRPr="003020ED">
        <w:rPr>
          <w:rFonts w:ascii="Arial" w:hAnsi="Arial" w:cs="Arial"/>
          <w:bCs/>
          <w:sz w:val="24"/>
          <w:szCs w:val="24"/>
        </w:rPr>
        <w:t xml:space="preserve"> </w:t>
      </w:r>
    </w:p>
    <w:p w14:paraId="165C3D41" w14:textId="0697CF44" w:rsidR="00C52421" w:rsidRDefault="00C52421" w:rsidP="00C52421">
      <w:pPr>
        <w:jc w:val="both"/>
        <w:rPr>
          <w:rFonts w:ascii="Arial" w:hAnsi="Arial" w:cs="Arial"/>
          <w:sz w:val="24"/>
          <w:szCs w:val="24"/>
        </w:rPr>
      </w:pPr>
      <w:r w:rsidRPr="007528BB">
        <w:rPr>
          <w:rFonts w:ascii="Arial" w:hAnsi="Arial" w:cs="Arial"/>
          <w:sz w:val="24"/>
          <w:szCs w:val="24"/>
        </w:rPr>
        <w:t xml:space="preserve">Como resultado, </w:t>
      </w:r>
      <w:r w:rsidR="00094E0E" w:rsidRPr="007528BB">
        <w:rPr>
          <w:rFonts w:ascii="Arial" w:hAnsi="Arial" w:cs="Arial"/>
          <w:sz w:val="24"/>
          <w:szCs w:val="24"/>
        </w:rPr>
        <w:t xml:space="preserve">as receitas adicionais projetadas </w:t>
      </w:r>
      <w:r w:rsidR="00094E0E">
        <w:rPr>
          <w:rFonts w:ascii="Arial" w:hAnsi="Arial" w:cs="Arial"/>
          <w:sz w:val="24"/>
          <w:szCs w:val="24"/>
        </w:rPr>
        <w:t>seriam</w:t>
      </w:r>
      <w:r w:rsidRPr="007528BB">
        <w:rPr>
          <w:rFonts w:ascii="Arial" w:hAnsi="Arial" w:cs="Arial"/>
          <w:sz w:val="24"/>
          <w:szCs w:val="24"/>
        </w:rPr>
        <w:t xml:space="preserve"> de alguns bilhões de reais nas faixas iniciais dessa alíquota até </w:t>
      </w:r>
      <w:r w:rsidR="00094E0E">
        <w:rPr>
          <w:rFonts w:ascii="Arial" w:hAnsi="Arial" w:cs="Arial"/>
          <w:sz w:val="24"/>
          <w:szCs w:val="24"/>
        </w:rPr>
        <w:t xml:space="preserve">R$ </w:t>
      </w:r>
      <w:r>
        <w:rPr>
          <w:rFonts w:ascii="Arial" w:hAnsi="Arial" w:cs="Arial"/>
          <w:sz w:val="24"/>
          <w:szCs w:val="24"/>
        </w:rPr>
        <w:t>19 bilhões na faixa mais elevada</w:t>
      </w:r>
      <w:r w:rsidRPr="007528BB">
        <w:rPr>
          <w:rFonts w:ascii="Arial" w:hAnsi="Arial" w:cs="Arial"/>
          <w:sz w:val="24"/>
          <w:szCs w:val="24"/>
        </w:rPr>
        <w:t xml:space="preserve">, culminando em um incremento total </w:t>
      </w:r>
      <w:r>
        <w:rPr>
          <w:rFonts w:ascii="Arial" w:hAnsi="Arial" w:cs="Arial"/>
          <w:sz w:val="24"/>
          <w:szCs w:val="24"/>
        </w:rPr>
        <w:t>de</w:t>
      </w:r>
      <w:r w:rsidR="00094E0E">
        <w:rPr>
          <w:rFonts w:ascii="Arial" w:hAnsi="Arial" w:cs="Arial"/>
          <w:sz w:val="24"/>
          <w:szCs w:val="24"/>
        </w:rPr>
        <w:t>,</w:t>
      </w:r>
      <w:r>
        <w:rPr>
          <w:rFonts w:ascii="Arial" w:hAnsi="Arial" w:cs="Arial"/>
          <w:sz w:val="24"/>
          <w:szCs w:val="24"/>
        </w:rPr>
        <w:t xml:space="preserve"> aproximadamente</w:t>
      </w:r>
      <w:r w:rsidR="00094E0E">
        <w:rPr>
          <w:rFonts w:ascii="Arial" w:hAnsi="Arial" w:cs="Arial"/>
          <w:sz w:val="24"/>
          <w:szCs w:val="24"/>
        </w:rPr>
        <w:t>,</w:t>
      </w:r>
      <w:r>
        <w:rPr>
          <w:rFonts w:ascii="Arial" w:hAnsi="Arial" w:cs="Arial"/>
          <w:sz w:val="24"/>
          <w:szCs w:val="24"/>
        </w:rPr>
        <w:t xml:space="preserve"> R$</w:t>
      </w:r>
      <w:r w:rsidR="005836F9">
        <w:rPr>
          <w:rFonts w:ascii="Arial" w:hAnsi="Arial" w:cs="Arial"/>
          <w:sz w:val="24"/>
          <w:szCs w:val="24"/>
        </w:rPr>
        <w:t xml:space="preserve"> </w:t>
      </w:r>
      <w:r>
        <w:rPr>
          <w:rFonts w:ascii="Arial" w:hAnsi="Arial" w:cs="Arial"/>
          <w:sz w:val="24"/>
          <w:szCs w:val="24"/>
        </w:rPr>
        <w:t>71 bilhões</w:t>
      </w:r>
      <w:r w:rsidRPr="007528BB">
        <w:rPr>
          <w:rFonts w:ascii="Arial" w:hAnsi="Arial" w:cs="Arial"/>
          <w:sz w:val="24"/>
          <w:szCs w:val="24"/>
        </w:rPr>
        <w:t xml:space="preserve"> em relação à arrecadação atual. Esse cenário reforça a ideia de que o aumento da alíquota efetiva mínima para algo próximo a 12,5% representa uma estratégia potente para aumentar a progressividade da tributação e a capacidade de arrecadação, direcionando a incidência do imposto de forma mais acentuada sobre os grupos de maior renda.</w:t>
      </w:r>
    </w:p>
    <w:p w14:paraId="6BA6A9F9" w14:textId="797E3A68" w:rsidR="00C52421" w:rsidRDefault="00C52421" w:rsidP="00C52421">
      <w:pPr>
        <w:jc w:val="both"/>
        <w:rPr>
          <w:rFonts w:ascii="Arial" w:hAnsi="Arial" w:cs="Arial"/>
          <w:sz w:val="24"/>
          <w:szCs w:val="24"/>
        </w:rPr>
      </w:pPr>
      <w:r w:rsidRPr="007528BB">
        <w:rPr>
          <w:rFonts w:ascii="Arial" w:hAnsi="Arial" w:cs="Arial"/>
          <w:sz w:val="24"/>
          <w:szCs w:val="24"/>
        </w:rPr>
        <w:t>Ao adotar uma alíquota efetiva mínima em torno de 12,</w:t>
      </w:r>
      <w:r>
        <w:rPr>
          <w:rFonts w:ascii="Arial" w:hAnsi="Arial" w:cs="Arial"/>
          <w:sz w:val="24"/>
          <w:szCs w:val="24"/>
        </w:rPr>
        <w:t>8</w:t>
      </w:r>
      <w:r w:rsidRPr="007528BB">
        <w:rPr>
          <w:rFonts w:ascii="Arial" w:hAnsi="Arial" w:cs="Arial"/>
          <w:sz w:val="24"/>
          <w:szCs w:val="24"/>
        </w:rPr>
        <w:t xml:space="preserve">%, o sistema tributário não apenas amplia a progressividade, concentrando a carga fiscal sobre os mais ricos, como também promove </w:t>
      </w:r>
      <w:r w:rsidR="005836F9">
        <w:rPr>
          <w:rFonts w:ascii="Arial" w:hAnsi="Arial" w:cs="Arial"/>
          <w:sz w:val="24"/>
          <w:szCs w:val="24"/>
        </w:rPr>
        <w:t xml:space="preserve">a </w:t>
      </w:r>
      <w:r w:rsidRPr="007528BB">
        <w:rPr>
          <w:rFonts w:ascii="Arial" w:hAnsi="Arial" w:cs="Arial"/>
          <w:sz w:val="24"/>
          <w:szCs w:val="24"/>
        </w:rPr>
        <w:t>justiça fiscal. Esse novo patamar torna a contribuição dos contribuintes de renda extremamente elevada</w:t>
      </w:r>
      <w:r w:rsidR="008B4DE4">
        <w:rPr>
          <w:rFonts w:ascii="Arial" w:hAnsi="Arial" w:cs="Arial"/>
          <w:sz w:val="24"/>
          <w:szCs w:val="24"/>
        </w:rPr>
        <w:t xml:space="preserve"> e</w:t>
      </w:r>
      <w:r w:rsidRPr="007528BB">
        <w:rPr>
          <w:rFonts w:ascii="Arial" w:hAnsi="Arial" w:cs="Arial"/>
          <w:sz w:val="24"/>
          <w:szCs w:val="24"/>
        </w:rPr>
        <w:t xml:space="preserve"> mais próxima da realidade já vivenciada por professores universitários, profissionais que desempenham um papel fundamental na formação de gerações, na produção de conhecimento e no avanço científico do país. Assim, ao alinhar a tributação das faixas de renda superiores ao esforço fiscal assumido por uma categoria tão estratégica para o desenvolvimento nacional, a proposta sinaliza um movimento de maior equidade, aproximando os que historicamente pagam pouco dos que, ainda que não possuam rendas extraordinárias, já contribuem substancialmente com o financiamento do Estado e o bem-estar coletivo.</w:t>
      </w:r>
    </w:p>
    <w:p w14:paraId="73D39A9B" w14:textId="6FCB63B9" w:rsidR="00C52421" w:rsidRDefault="00C52421" w:rsidP="00C52421">
      <w:pPr>
        <w:jc w:val="both"/>
        <w:rPr>
          <w:rFonts w:ascii="Arial" w:hAnsi="Arial" w:cs="Arial"/>
          <w:sz w:val="24"/>
          <w:szCs w:val="24"/>
        </w:rPr>
      </w:pPr>
      <w:r w:rsidRPr="00461EBB">
        <w:rPr>
          <w:rFonts w:ascii="Arial" w:hAnsi="Arial" w:cs="Arial"/>
          <w:sz w:val="24"/>
          <w:szCs w:val="24"/>
        </w:rPr>
        <w:t>Além de reforçar a justiça fiscal e aproximar as alíquotas efetivas do topo da pirâmide de renda àquelas já praticadas sobre os rendimentos dos professores universitários, o alinhamento da tributação dos mais ricos nesse patamar teria o potencial de gerar uma arrecadação adicional de cerca de R$</w:t>
      </w:r>
      <w:r w:rsidR="005836F9">
        <w:rPr>
          <w:rFonts w:ascii="Arial" w:hAnsi="Arial" w:cs="Arial"/>
          <w:sz w:val="24"/>
          <w:szCs w:val="24"/>
        </w:rPr>
        <w:t xml:space="preserve"> </w:t>
      </w:r>
      <w:r w:rsidRPr="00461EBB">
        <w:rPr>
          <w:rFonts w:ascii="Arial" w:hAnsi="Arial" w:cs="Arial"/>
          <w:sz w:val="24"/>
          <w:szCs w:val="24"/>
        </w:rPr>
        <w:t>3</w:t>
      </w:r>
      <w:r w:rsidR="005836F9">
        <w:rPr>
          <w:rFonts w:ascii="Arial" w:hAnsi="Arial" w:cs="Arial"/>
          <w:sz w:val="24"/>
          <w:szCs w:val="24"/>
        </w:rPr>
        <w:t>5</w:t>
      </w:r>
      <w:r w:rsidRPr="00461EBB">
        <w:rPr>
          <w:rFonts w:ascii="Arial" w:hAnsi="Arial" w:cs="Arial"/>
          <w:sz w:val="24"/>
          <w:szCs w:val="24"/>
        </w:rPr>
        <w:t xml:space="preserve"> bilhões. Esse montante, </w:t>
      </w:r>
      <w:r>
        <w:rPr>
          <w:rFonts w:ascii="Arial" w:hAnsi="Arial" w:cs="Arial"/>
          <w:sz w:val="24"/>
          <w:szCs w:val="24"/>
        </w:rPr>
        <w:t>após parcela a ser distribuída aos estados e municípios</w:t>
      </w:r>
      <w:r w:rsidRPr="00461EBB">
        <w:rPr>
          <w:rFonts w:ascii="Arial" w:hAnsi="Arial" w:cs="Arial"/>
          <w:sz w:val="24"/>
          <w:szCs w:val="24"/>
        </w:rPr>
        <w:t xml:space="preserve">, </w:t>
      </w:r>
      <w:r>
        <w:rPr>
          <w:rFonts w:ascii="Arial" w:hAnsi="Arial" w:cs="Arial"/>
          <w:sz w:val="24"/>
          <w:szCs w:val="24"/>
        </w:rPr>
        <w:t>representaria</w:t>
      </w:r>
      <w:r w:rsidRPr="00461EBB">
        <w:rPr>
          <w:rFonts w:ascii="Arial" w:hAnsi="Arial" w:cs="Arial"/>
          <w:sz w:val="24"/>
          <w:szCs w:val="24"/>
        </w:rPr>
        <w:t xml:space="preserve"> um </w:t>
      </w:r>
      <w:r>
        <w:rPr>
          <w:rFonts w:ascii="Arial" w:hAnsi="Arial" w:cs="Arial"/>
          <w:sz w:val="24"/>
          <w:szCs w:val="24"/>
        </w:rPr>
        <w:t>incremento</w:t>
      </w:r>
      <w:r w:rsidRPr="00461EBB">
        <w:rPr>
          <w:rFonts w:ascii="Arial" w:hAnsi="Arial" w:cs="Arial"/>
          <w:sz w:val="24"/>
          <w:szCs w:val="24"/>
        </w:rPr>
        <w:t xml:space="preserve"> para ajudar o governo a cumprir suas metas fiscais, reduzindo o déficit e fortalecendo a sustentabilidade das contas públicas. Além disso, com esses recursos, seria possível ampliar investimentos em áreas como educação básica, saúde pública, infraestrutura de transportes, habitação popular e incentivos à ciência e tecnologia, fortalecendo o tecido social, melhorando a qualidade de vida da população e impulsionando o desenvolvimento econômico do país.</w:t>
      </w:r>
      <w:r>
        <w:rPr>
          <w:rFonts w:ascii="Arial" w:hAnsi="Arial" w:cs="Arial"/>
          <w:sz w:val="24"/>
          <w:szCs w:val="24"/>
        </w:rPr>
        <w:t xml:space="preserve"> A título de ilustração, R$ 15 bilhões representa a despesa média mensal do Bolsa Família.</w:t>
      </w:r>
    </w:p>
    <w:p w14:paraId="17DF34E8" w14:textId="77777777" w:rsidR="00C52421" w:rsidRPr="0099257B" w:rsidRDefault="00C52421" w:rsidP="00C52421">
      <w:pPr>
        <w:jc w:val="both"/>
        <w:rPr>
          <w:rFonts w:ascii="Arial" w:hAnsi="Arial" w:cs="Arial"/>
          <w:sz w:val="24"/>
          <w:szCs w:val="24"/>
        </w:rPr>
      </w:pPr>
      <w:r w:rsidRPr="0099257B">
        <w:rPr>
          <w:rFonts w:ascii="Arial" w:hAnsi="Arial" w:cs="Arial"/>
          <w:sz w:val="24"/>
          <w:szCs w:val="24"/>
        </w:rPr>
        <w:t xml:space="preserve">A proposta de reestruturar a alíquota efetiva para contribuintes com rendimentos </w:t>
      </w:r>
      <w:r>
        <w:rPr>
          <w:rFonts w:ascii="Arial" w:hAnsi="Arial" w:cs="Arial"/>
          <w:sz w:val="24"/>
          <w:szCs w:val="24"/>
        </w:rPr>
        <w:t>mensais de até R$ 7.000 e</w:t>
      </w:r>
      <w:r w:rsidRPr="0099257B">
        <w:rPr>
          <w:rFonts w:ascii="Arial" w:hAnsi="Arial" w:cs="Arial"/>
          <w:sz w:val="24"/>
          <w:szCs w:val="24"/>
        </w:rPr>
        <w:t xml:space="preserve"> superiores a R$ </w:t>
      </w:r>
      <w:r>
        <w:rPr>
          <w:rFonts w:ascii="Arial" w:hAnsi="Arial" w:cs="Arial"/>
          <w:sz w:val="24"/>
          <w:szCs w:val="24"/>
        </w:rPr>
        <w:t>6</w:t>
      </w:r>
      <w:r w:rsidRPr="0099257B">
        <w:rPr>
          <w:rFonts w:ascii="Arial" w:hAnsi="Arial" w:cs="Arial"/>
          <w:sz w:val="24"/>
          <w:szCs w:val="24"/>
        </w:rPr>
        <w:t>00 mil</w:t>
      </w:r>
      <w:r>
        <w:rPr>
          <w:rFonts w:ascii="Arial" w:hAnsi="Arial" w:cs="Arial"/>
          <w:sz w:val="24"/>
          <w:szCs w:val="24"/>
        </w:rPr>
        <w:t xml:space="preserve"> anuais</w:t>
      </w:r>
      <w:r w:rsidRPr="0099257B">
        <w:rPr>
          <w:rFonts w:ascii="Arial" w:hAnsi="Arial" w:cs="Arial"/>
          <w:sz w:val="24"/>
          <w:szCs w:val="24"/>
        </w:rPr>
        <w:t xml:space="preserve"> não inclui, inicialmente, mecanismos de proteção contra a inflação. Sem a indexação das faixas de tributação ao índice de preços, a inflação pode, ao longo do tempo, erodir </w:t>
      </w:r>
      <w:r>
        <w:rPr>
          <w:rFonts w:ascii="Arial" w:hAnsi="Arial" w:cs="Arial"/>
          <w:sz w:val="24"/>
          <w:szCs w:val="24"/>
        </w:rPr>
        <w:t>a progressividade</w:t>
      </w:r>
      <w:r w:rsidRPr="0099257B">
        <w:rPr>
          <w:rFonts w:ascii="Arial" w:hAnsi="Arial" w:cs="Arial"/>
          <w:sz w:val="24"/>
          <w:szCs w:val="24"/>
        </w:rPr>
        <w:t xml:space="preserve"> fiscal </w:t>
      </w:r>
      <w:r>
        <w:rPr>
          <w:rFonts w:ascii="Arial" w:hAnsi="Arial" w:cs="Arial"/>
          <w:sz w:val="24"/>
          <w:szCs w:val="24"/>
        </w:rPr>
        <w:t>almejada</w:t>
      </w:r>
      <w:r w:rsidRPr="0099257B">
        <w:rPr>
          <w:rFonts w:ascii="Arial" w:hAnsi="Arial" w:cs="Arial"/>
          <w:sz w:val="24"/>
          <w:szCs w:val="24"/>
        </w:rPr>
        <w:t xml:space="preserve"> pela medida. À medida que os rendimentos nominais aumentam devido à inflação, mais contribuintes podem ser empurrados para faixas de tributação mais altas, elevando sua carga tributária efetiva sem um aumento real de renda. Esse fenômeno, conhecido como "bracket creep", resulta em uma tributação mais pesada sobre rendas que não necessariamente refletem um ganho real de poder aquisitivo.</w:t>
      </w:r>
      <w:r>
        <w:rPr>
          <w:rFonts w:ascii="Arial" w:hAnsi="Arial" w:cs="Arial"/>
          <w:sz w:val="24"/>
          <w:szCs w:val="24"/>
        </w:rPr>
        <w:t xml:space="preserve"> A literatura mostra que agentes econômicos com maior renda tem acesso a instrumentos econômicos com maior potencial de proteção inflacionária.</w:t>
      </w:r>
    </w:p>
    <w:p w14:paraId="68FD60DA" w14:textId="77777777" w:rsidR="00C52421" w:rsidRPr="0099257B" w:rsidRDefault="00C52421" w:rsidP="00C52421">
      <w:pPr>
        <w:jc w:val="both"/>
        <w:rPr>
          <w:rFonts w:ascii="Arial" w:hAnsi="Arial" w:cs="Arial"/>
          <w:sz w:val="24"/>
          <w:szCs w:val="24"/>
        </w:rPr>
      </w:pPr>
      <w:r w:rsidRPr="0099257B">
        <w:rPr>
          <w:rFonts w:ascii="Arial" w:hAnsi="Arial" w:cs="Arial"/>
          <w:sz w:val="24"/>
          <w:szCs w:val="24"/>
        </w:rPr>
        <w:t>Além disso, a ausência de ajustes inflacionários periódicos nas faixas de tributação pode levar a uma arrecadação crescente em termos nominais, mas que não corresponde a um aumento real da base tributária. Consequentemente, a progressividade do sistema tributário pode ser comprometida, penalizando desproporcionalmente os contribuintes ao longo do tempo. Para manter a eficácia e a justiça da política fiscal, é fundamental implementar mecanismos de correção que ajustem as faixas de tributação de acordo com a inflação, preservando o objetivo de equidade tributária e evitando distorções econômicas.</w:t>
      </w:r>
    </w:p>
    <w:p w14:paraId="5B796A5A" w14:textId="77777777" w:rsidR="00C52421" w:rsidRDefault="00C52421" w:rsidP="00C52421">
      <w:pPr>
        <w:jc w:val="both"/>
      </w:pPr>
    </w:p>
    <w:sectPr w:rsidR="00C52421" w:rsidSect="008B5FF5">
      <w:pgSz w:w="11906" w:h="16838"/>
      <w:pgMar w:top="1134" w:right="1418"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DC803" w14:textId="77777777" w:rsidR="00CA614E" w:rsidRDefault="00CA614E">
      <w:pPr>
        <w:spacing w:after="0" w:line="240" w:lineRule="auto"/>
      </w:pPr>
      <w:r>
        <w:separator/>
      </w:r>
    </w:p>
  </w:endnote>
  <w:endnote w:type="continuationSeparator" w:id="0">
    <w:p w14:paraId="7CD96CFE" w14:textId="77777777" w:rsidR="00CA614E" w:rsidRDefault="00CA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9C1" w14:textId="77777777" w:rsidR="00CC6466" w:rsidRDefault="00CC6466" w:rsidP="004E5E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228A9C2" w14:textId="77777777" w:rsidR="00CC6466" w:rsidRDefault="00CC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9C3" w14:textId="77777777" w:rsidR="00CC6466" w:rsidRDefault="00CC6466">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9C5" w14:textId="77777777" w:rsidR="00CC6466" w:rsidRDefault="00CC6466" w:rsidP="004E5E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228A9C6" w14:textId="77777777" w:rsidR="00CC6466" w:rsidRDefault="00CC6466">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9C7" w14:textId="77777777" w:rsidR="00CC6466" w:rsidRDefault="00CC6466">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731135"/>
      <w:docPartObj>
        <w:docPartGallery w:val="Page Numbers (Bottom of Page)"/>
        <w:docPartUnique/>
      </w:docPartObj>
    </w:sdtPr>
    <w:sdtContent>
      <w:p w14:paraId="0E1C697F" w14:textId="77777777" w:rsidR="00CC6466" w:rsidRDefault="00CC6466">
        <w:pPr>
          <w:pStyle w:val="Rodap"/>
          <w:jc w:val="right"/>
        </w:pPr>
        <w:r>
          <w:fldChar w:fldCharType="begin"/>
        </w:r>
        <w:r>
          <w:instrText>PAGE   \* MERGEFORMAT</w:instrText>
        </w:r>
        <w:r>
          <w:fldChar w:fldCharType="separate"/>
        </w:r>
        <w:r w:rsidR="006A7D31">
          <w:rPr>
            <w:noProof/>
          </w:rPr>
          <w:t>10</w:t>
        </w:r>
        <w:r>
          <w:fldChar w:fldCharType="end"/>
        </w:r>
      </w:p>
    </w:sdtContent>
  </w:sdt>
  <w:p w14:paraId="7307F2D1" w14:textId="77777777" w:rsidR="00CC6466" w:rsidRDefault="00CC64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4A49" w14:textId="77777777" w:rsidR="00CA614E" w:rsidRDefault="00CA614E">
      <w:pPr>
        <w:spacing w:after="0" w:line="240" w:lineRule="auto"/>
      </w:pPr>
      <w:r>
        <w:separator/>
      </w:r>
    </w:p>
  </w:footnote>
  <w:footnote w:type="continuationSeparator" w:id="0">
    <w:p w14:paraId="32A12391" w14:textId="77777777" w:rsidR="00CA614E" w:rsidRDefault="00CA6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9C0" w14:textId="77777777" w:rsidR="00CC6466" w:rsidRDefault="00CC6466">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9C4" w14:textId="77777777" w:rsidR="00CC6466" w:rsidRDefault="00CC646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ACBF" w14:textId="77777777" w:rsidR="00CC6466" w:rsidRDefault="00CC6466">
    <w:pPr>
      <w:pStyle w:val="Cabealho"/>
    </w:pPr>
  </w:p>
  <w:p w14:paraId="7E2ADC7F" w14:textId="77777777" w:rsidR="00CC6466" w:rsidRDefault="00CC64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6DF2"/>
    <w:multiLevelType w:val="hybridMultilevel"/>
    <w:tmpl w:val="43741D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FE20D11"/>
    <w:multiLevelType w:val="multilevel"/>
    <w:tmpl w:val="E1C6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35AC8"/>
    <w:multiLevelType w:val="hybridMultilevel"/>
    <w:tmpl w:val="685865FC"/>
    <w:lvl w:ilvl="0" w:tplc="4326616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38A137D1"/>
    <w:multiLevelType w:val="hybridMultilevel"/>
    <w:tmpl w:val="4E300C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9B70ED7"/>
    <w:multiLevelType w:val="multilevel"/>
    <w:tmpl w:val="A3A8DE8C"/>
    <w:lvl w:ilvl="0">
      <w:start w:val="1"/>
      <w:numFmt w:val="decimal"/>
      <w:lvlText w:val="%1."/>
      <w:lvlJc w:val="left"/>
      <w:pPr>
        <w:ind w:left="786" w:hanging="360"/>
      </w:pPr>
      <w:rPr>
        <w:rFonts w:hint="default"/>
      </w:rPr>
    </w:lvl>
    <w:lvl w:ilvl="1">
      <w:start w:val="1"/>
      <w:numFmt w:val="decimal"/>
      <w:isLgl/>
      <w:lvlText w:val="%1.%2."/>
      <w:lvlJc w:val="left"/>
      <w:pPr>
        <w:ind w:left="1792" w:hanging="720"/>
      </w:pPr>
      <w:rPr>
        <w:rFonts w:hint="default"/>
      </w:rPr>
    </w:lvl>
    <w:lvl w:ilvl="2">
      <w:start w:val="1"/>
      <w:numFmt w:val="decimal"/>
      <w:isLgl/>
      <w:lvlText w:val="%1.%2.%3."/>
      <w:lvlJc w:val="left"/>
      <w:pPr>
        <w:ind w:left="2438" w:hanging="720"/>
      </w:pPr>
      <w:rPr>
        <w:rFonts w:hint="default"/>
      </w:rPr>
    </w:lvl>
    <w:lvl w:ilvl="3">
      <w:start w:val="1"/>
      <w:numFmt w:val="decimal"/>
      <w:isLgl/>
      <w:lvlText w:val="%1.%2.%3.%4."/>
      <w:lvlJc w:val="left"/>
      <w:pPr>
        <w:ind w:left="3444" w:hanging="1080"/>
      </w:pPr>
      <w:rPr>
        <w:rFonts w:hint="default"/>
      </w:rPr>
    </w:lvl>
    <w:lvl w:ilvl="4">
      <w:start w:val="1"/>
      <w:numFmt w:val="decimal"/>
      <w:isLgl/>
      <w:lvlText w:val="%1.%2.%3.%4.%5."/>
      <w:lvlJc w:val="left"/>
      <w:pPr>
        <w:ind w:left="4090" w:hanging="1080"/>
      </w:pPr>
      <w:rPr>
        <w:rFonts w:hint="default"/>
      </w:rPr>
    </w:lvl>
    <w:lvl w:ilvl="5">
      <w:start w:val="1"/>
      <w:numFmt w:val="decimal"/>
      <w:isLgl/>
      <w:lvlText w:val="%1.%2.%3.%4.%5.%6."/>
      <w:lvlJc w:val="left"/>
      <w:pPr>
        <w:ind w:left="5096" w:hanging="144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748" w:hanging="1800"/>
      </w:pPr>
      <w:rPr>
        <w:rFonts w:hint="default"/>
      </w:rPr>
    </w:lvl>
    <w:lvl w:ilvl="8">
      <w:start w:val="1"/>
      <w:numFmt w:val="decimal"/>
      <w:isLgl/>
      <w:lvlText w:val="%1.%2.%3.%4.%5.%6.%7.%8.%9."/>
      <w:lvlJc w:val="left"/>
      <w:pPr>
        <w:ind w:left="7754" w:hanging="2160"/>
      </w:pPr>
      <w:rPr>
        <w:rFonts w:hint="default"/>
      </w:rPr>
    </w:lvl>
  </w:abstractNum>
  <w:abstractNum w:abstractNumId="5" w15:restartNumberingAfterBreak="0">
    <w:nsid w:val="5A7B692B"/>
    <w:multiLevelType w:val="multilevel"/>
    <w:tmpl w:val="D49CE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97643"/>
    <w:multiLevelType w:val="hybridMultilevel"/>
    <w:tmpl w:val="85801D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DF589D"/>
    <w:multiLevelType w:val="hybridMultilevel"/>
    <w:tmpl w:val="470AD2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FAD21C2"/>
    <w:multiLevelType w:val="hybridMultilevel"/>
    <w:tmpl w:val="BBE619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A5A2721"/>
    <w:multiLevelType w:val="hybridMultilevel"/>
    <w:tmpl w:val="CB668C4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16cid:durableId="300231092">
    <w:abstractNumId w:val="6"/>
  </w:num>
  <w:num w:numId="2" w16cid:durableId="1439712161">
    <w:abstractNumId w:val="0"/>
  </w:num>
  <w:num w:numId="3" w16cid:durableId="1838883641">
    <w:abstractNumId w:val="9"/>
  </w:num>
  <w:num w:numId="4" w16cid:durableId="2038387392">
    <w:abstractNumId w:val="2"/>
  </w:num>
  <w:num w:numId="5" w16cid:durableId="1440024832">
    <w:abstractNumId w:val="8"/>
  </w:num>
  <w:num w:numId="6" w16cid:durableId="1009059667">
    <w:abstractNumId w:val="7"/>
  </w:num>
  <w:num w:numId="7" w16cid:durableId="457995156">
    <w:abstractNumId w:val="4"/>
  </w:num>
  <w:num w:numId="8" w16cid:durableId="192153074">
    <w:abstractNumId w:val="5"/>
  </w:num>
  <w:num w:numId="9" w16cid:durableId="1118138569">
    <w:abstractNumId w:val="3"/>
  </w:num>
  <w:num w:numId="10" w16cid:durableId="69770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2E"/>
    <w:rsid w:val="000010A5"/>
    <w:rsid w:val="00001B3B"/>
    <w:rsid w:val="0000253A"/>
    <w:rsid w:val="000028F2"/>
    <w:rsid w:val="00005037"/>
    <w:rsid w:val="0000609D"/>
    <w:rsid w:val="00006E7B"/>
    <w:rsid w:val="00006ED2"/>
    <w:rsid w:val="000107ED"/>
    <w:rsid w:val="00011FA8"/>
    <w:rsid w:val="00014F82"/>
    <w:rsid w:val="0001796F"/>
    <w:rsid w:val="00017B7F"/>
    <w:rsid w:val="00020580"/>
    <w:rsid w:val="00021CB2"/>
    <w:rsid w:val="00022B93"/>
    <w:rsid w:val="00022E25"/>
    <w:rsid w:val="00023E43"/>
    <w:rsid w:val="00024810"/>
    <w:rsid w:val="00027C5F"/>
    <w:rsid w:val="000302CC"/>
    <w:rsid w:val="00030B32"/>
    <w:rsid w:val="00031CB7"/>
    <w:rsid w:val="00033A2B"/>
    <w:rsid w:val="000342C9"/>
    <w:rsid w:val="00035A05"/>
    <w:rsid w:val="00035BD0"/>
    <w:rsid w:val="00037B1E"/>
    <w:rsid w:val="00037B27"/>
    <w:rsid w:val="00040A45"/>
    <w:rsid w:val="00041887"/>
    <w:rsid w:val="00041D76"/>
    <w:rsid w:val="000423D3"/>
    <w:rsid w:val="00044A96"/>
    <w:rsid w:val="00046957"/>
    <w:rsid w:val="00047585"/>
    <w:rsid w:val="00047A6B"/>
    <w:rsid w:val="00051048"/>
    <w:rsid w:val="000518E4"/>
    <w:rsid w:val="0005210A"/>
    <w:rsid w:val="00053468"/>
    <w:rsid w:val="0005605C"/>
    <w:rsid w:val="00056287"/>
    <w:rsid w:val="00056318"/>
    <w:rsid w:val="000573CE"/>
    <w:rsid w:val="000623C5"/>
    <w:rsid w:val="00062DD1"/>
    <w:rsid w:val="0007147F"/>
    <w:rsid w:val="000714F2"/>
    <w:rsid w:val="00071DD4"/>
    <w:rsid w:val="00072017"/>
    <w:rsid w:val="00072A55"/>
    <w:rsid w:val="000732E6"/>
    <w:rsid w:val="00077F10"/>
    <w:rsid w:val="00080966"/>
    <w:rsid w:val="00081168"/>
    <w:rsid w:val="000814DB"/>
    <w:rsid w:val="00083309"/>
    <w:rsid w:val="000834C2"/>
    <w:rsid w:val="00084B62"/>
    <w:rsid w:val="00085379"/>
    <w:rsid w:val="000859E3"/>
    <w:rsid w:val="000900D0"/>
    <w:rsid w:val="000914B3"/>
    <w:rsid w:val="00092E5A"/>
    <w:rsid w:val="00092F4B"/>
    <w:rsid w:val="0009323D"/>
    <w:rsid w:val="00093D04"/>
    <w:rsid w:val="00094E0E"/>
    <w:rsid w:val="00094FE5"/>
    <w:rsid w:val="000950E6"/>
    <w:rsid w:val="00095D29"/>
    <w:rsid w:val="00095FF9"/>
    <w:rsid w:val="00096216"/>
    <w:rsid w:val="0009659A"/>
    <w:rsid w:val="00097C41"/>
    <w:rsid w:val="000A095A"/>
    <w:rsid w:val="000A15E1"/>
    <w:rsid w:val="000A166B"/>
    <w:rsid w:val="000A1A4A"/>
    <w:rsid w:val="000A1AEA"/>
    <w:rsid w:val="000A1B2D"/>
    <w:rsid w:val="000A30A0"/>
    <w:rsid w:val="000A350C"/>
    <w:rsid w:val="000A3D69"/>
    <w:rsid w:val="000A56A0"/>
    <w:rsid w:val="000A5CDE"/>
    <w:rsid w:val="000A5E00"/>
    <w:rsid w:val="000A69FA"/>
    <w:rsid w:val="000B0B6D"/>
    <w:rsid w:val="000B1001"/>
    <w:rsid w:val="000B30DC"/>
    <w:rsid w:val="000B5252"/>
    <w:rsid w:val="000B66D8"/>
    <w:rsid w:val="000B73CC"/>
    <w:rsid w:val="000B783A"/>
    <w:rsid w:val="000C0315"/>
    <w:rsid w:val="000C0C32"/>
    <w:rsid w:val="000C0D6F"/>
    <w:rsid w:val="000C1920"/>
    <w:rsid w:val="000C24F4"/>
    <w:rsid w:val="000C282D"/>
    <w:rsid w:val="000C335E"/>
    <w:rsid w:val="000C3632"/>
    <w:rsid w:val="000C46A0"/>
    <w:rsid w:val="000C4C8A"/>
    <w:rsid w:val="000C527E"/>
    <w:rsid w:val="000D028E"/>
    <w:rsid w:val="000D0AC5"/>
    <w:rsid w:val="000D0F45"/>
    <w:rsid w:val="000D1326"/>
    <w:rsid w:val="000D1990"/>
    <w:rsid w:val="000D5345"/>
    <w:rsid w:val="000D77D3"/>
    <w:rsid w:val="000D7D9B"/>
    <w:rsid w:val="000D7E27"/>
    <w:rsid w:val="000E1452"/>
    <w:rsid w:val="000E513A"/>
    <w:rsid w:val="000E731C"/>
    <w:rsid w:val="000E7A3B"/>
    <w:rsid w:val="000F0268"/>
    <w:rsid w:val="000F3671"/>
    <w:rsid w:val="000F3CFA"/>
    <w:rsid w:val="000F3FD1"/>
    <w:rsid w:val="000F412A"/>
    <w:rsid w:val="000F42DC"/>
    <w:rsid w:val="00100B2D"/>
    <w:rsid w:val="00101716"/>
    <w:rsid w:val="0010176B"/>
    <w:rsid w:val="001025F8"/>
    <w:rsid w:val="00103936"/>
    <w:rsid w:val="001046E0"/>
    <w:rsid w:val="00104B23"/>
    <w:rsid w:val="00104DA6"/>
    <w:rsid w:val="001052E9"/>
    <w:rsid w:val="00107452"/>
    <w:rsid w:val="001074EB"/>
    <w:rsid w:val="00110088"/>
    <w:rsid w:val="00112C6A"/>
    <w:rsid w:val="00112D00"/>
    <w:rsid w:val="001144E6"/>
    <w:rsid w:val="001147A6"/>
    <w:rsid w:val="0011582E"/>
    <w:rsid w:val="00115A37"/>
    <w:rsid w:val="00115B1A"/>
    <w:rsid w:val="00116539"/>
    <w:rsid w:val="00116FB4"/>
    <w:rsid w:val="0011782A"/>
    <w:rsid w:val="00121330"/>
    <w:rsid w:val="0012135F"/>
    <w:rsid w:val="00121892"/>
    <w:rsid w:val="00121A25"/>
    <w:rsid w:val="00121FB5"/>
    <w:rsid w:val="001226F3"/>
    <w:rsid w:val="001228F8"/>
    <w:rsid w:val="001240A9"/>
    <w:rsid w:val="00124564"/>
    <w:rsid w:val="001267C7"/>
    <w:rsid w:val="0012736F"/>
    <w:rsid w:val="00131212"/>
    <w:rsid w:val="00132DD6"/>
    <w:rsid w:val="0013590B"/>
    <w:rsid w:val="00136155"/>
    <w:rsid w:val="001363E7"/>
    <w:rsid w:val="00140FF9"/>
    <w:rsid w:val="001417DC"/>
    <w:rsid w:val="00141824"/>
    <w:rsid w:val="001418C7"/>
    <w:rsid w:val="00141C60"/>
    <w:rsid w:val="00141FB5"/>
    <w:rsid w:val="00142BE9"/>
    <w:rsid w:val="00143ED8"/>
    <w:rsid w:val="00144C96"/>
    <w:rsid w:val="00145526"/>
    <w:rsid w:val="0014628E"/>
    <w:rsid w:val="0015145C"/>
    <w:rsid w:val="001527CA"/>
    <w:rsid w:val="001527DA"/>
    <w:rsid w:val="0015577C"/>
    <w:rsid w:val="00156D19"/>
    <w:rsid w:val="0016051C"/>
    <w:rsid w:val="00162198"/>
    <w:rsid w:val="00162CE8"/>
    <w:rsid w:val="00164469"/>
    <w:rsid w:val="001664BC"/>
    <w:rsid w:val="00166E59"/>
    <w:rsid w:val="00167B38"/>
    <w:rsid w:val="001716D6"/>
    <w:rsid w:val="0017344D"/>
    <w:rsid w:val="001737CF"/>
    <w:rsid w:val="00173E4D"/>
    <w:rsid w:val="00175EB1"/>
    <w:rsid w:val="00177E9F"/>
    <w:rsid w:val="00177ECF"/>
    <w:rsid w:val="00181EF6"/>
    <w:rsid w:val="00182557"/>
    <w:rsid w:val="001861BA"/>
    <w:rsid w:val="00186BF6"/>
    <w:rsid w:val="0019232B"/>
    <w:rsid w:val="0019241C"/>
    <w:rsid w:val="001929DF"/>
    <w:rsid w:val="00193763"/>
    <w:rsid w:val="001939A3"/>
    <w:rsid w:val="00194CF6"/>
    <w:rsid w:val="00196ED7"/>
    <w:rsid w:val="00197E49"/>
    <w:rsid w:val="001A0198"/>
    <w:rsid w:val="001A01A3"/>
    <w:rsid w:val="001A283A"/>
    <w:rsid w:val="001A31B9"/>
    <w:rsid w:val="001A4F7F"/>
    <w:rsid w:val="001A5506"/>
    <w:rsid w:val="001A683B"/>
    <w:rsid w:val="001A6F14"/>
    <w:rsid w:val="001B2774"/>
    <w:rsid w:val="001B32B5"/>
    <w:rsid w:val="001B33ED"/>
    <w:rsid w:val="001B37D5"/>
    <w:rsid w:val="001B6433"/>
    <w:rsid w:val="001B7087"/>
    <w:rsid w:val="001B75A7"/>
    <w:rsid w:val="001C010F"/>
    <w:rsid w:val="001C0E59"/>
    <w:rsid w:val="001C6B66"/>
    <w:rsid w:val="001C7E6F"/>
    <w:rsid w:val="001D28E0"/>
    <w:rsid w:val="001D3C43"/>
    <w:rsid w:val="001D4B66"/>
    <w:rsid w:val="001D525D"/>
    <w:rsid w:val="001E1A1E"/>
    <w:rsid w:val="001E37BE"/>
    <w:rsid w:val="001E4216"/>
    <w:rsid w:val="001E44CF"/>
    <w:rsid w:val="001E5751"/>
    <w:rsid w:val="001E5A3B"/>
    <w:rsid w:val="001E6328"/>
    <w:rsid w:val="001E7C1B"/>
    <w:rsid w:val="001F0F4E"/>
    <w:rsid w:val="001F195A"/>
    <w:rsid w:val="001F254C"/>
    <w:rsid w:val="001F2BC6"/>
    <w:rsid w:val="001F4340"/>
    <w:rsid w:val="001F5635"/>
    <w:rsid w:val="001F5F0F"/>
    <w:rsid w:val="001F752E"/>
    <w:rsid w:val="00200032"/>
    <w:rsid w:val="00200CB6"/>
    <w:rsid w:val="00201F1F"/>
    <w:rsid w:val="00202324"/>
    <w:rsid w:val="00203849"/>
    <w:rsid w:val="00204E2F"/>
    <w:rsid w:val="00204F95"/>
    <w:rsid w:val="00204FA0"/>
    <w:rsid w:val="00205539"/>
    <w:rsid w:val="0020653D"/>
    <w:rsid w:val="00210159"/>
    <w:rsid w:val="0021060A"/>
    <w:rsid w:val="00211DF1"/>
    <w:rsid w:val="00212DE1"/>
    <w:rsid w:val="00212F31"/>
    <w:rsid w:val="002130F7"/>
    <w:rsid w:val="00213D20"/>
    <w:rsid w:val="002150DB"/>
    <w:rsid w:val="00220C2C"/>
    <w:rsid w:val="00220CD2"/>
    <w:rsid w:val="00220CE2"/>
    <w:rsid w:val="00223FBE"/>
    <w:rsid w:val="00235E14"/>
    <w:rsid w:val="00240C83"/>
    <w:rsid w:val="00243492"/>
    <w:rsid w:val="00244A76"/>
    <w:rsid w:val="00244B00"/>
    <w:rsid w:val="00244DE1"/>
    <w:rsid w:val="0024553F"/>
    <w:rsid w:val="00246F06"/>
    <w:rsid w:val="00247496"/>
    <w:rsid w:val="00250700"/>
    <w:rsid w:val="00250C56"/>
    <w:rsid w:val="00250C9D"/>
    <w:rsid w:val="00251215"/>
    <w:rsid w:val="002523C0"/>
    <w:rsid w:val="00252740"/>
    <w:rsid w:val="00254B47"/>
    <w:rsid w:val="00255483"/>
    <w:rsid w:val="00255D8F"/>
    <w:rsid w:val="00257DA0"/>
    <w:rsid w:val="0026608E"/>
    <w:rsid w:val="002665AA"/>
    <w:rsid w:val="00266BDA"/>
    <w:rsid w:val="00270852"/>
    <w:rsid w:val="00270C7F"/>
    <w:rsid w:val="00270F8F"/>
    <w:rsid w:val="00271BCC"/>
    <w:rsid w:val="00274495"/>
    <w:rsid w:val="00274A62"/>
    <w:rsid w:val="00274BB7"/>
    <w:rsid w:val="002772A6"/>
    <w:rsid w:val="0027787C"/>
    <w:rsid w:val="00277C4C"/>
    <w:rsid w:val="00280D88"/>
    <w:rsid w:val="00281646"/>
    <w:rsid w:val="00281F93"/>
    <w:rsid w:val="00286E62"/>
    <w:rsid w:val="00290B31"/>
    <w:rsid w:val="00290FEB"/>
    <w:rsid w:val="00297223"/>
    <w:rsid w:val="00297E61"/>
    <w:rsid w:val="002A257D"/>
    <w:rsid w:val="002A2C85"/>
    <w:rsid w:val="002A33B6"/>
    <w:rsid w:val="002A5DDC"/>
    <w:rsid w:val="002B1885"/>
    <w:rsid w:val="002B2317"/>
    <w:rsid w:val="002B2438"/>
    <w:rsid w:val="002B389F"/>
    <w:rsid w:val="002B7AC7"/>
    <w:rsid w:val="002C2C4D"/>
    <w:rsid w:val="002C46AD"/>
    <w:rsid w:val="002C497B"/>
    <w:rsid w:val="002C5060"/>
    <w:rsid w:val="002D1DEF"/>
    <w:rsid w:val="002D462D"/>
    <w:rsid w:val="002D4697"/>
    <w:rsid w:val="002D51AD"/>
    <w:rsid w:val="002D5358"/>
    <w:rsid w:val="002D55BF"/>
    <w:rsid w:val="002E0056"/>
    <w:rsid w:val="002E09B7"/>
    <w:rsid w:val="002E1DA9"/>
    <w:rsid w:val="002E235F"/>
    <w:rsid w:val="002E472C"/>
    <w:rsid w:val="002E4C8C"/>
    <w:rsid w:val="002E5773"/>
    <w:rsid w:val="002E5882"/>
    <w:rsid w:val="002E7932"/>
    <w:rsid w:val="002F0BB5"/>
    <w:rsid w:val="002F11FC"/>
    <w:rsid w:val="002F279F"/>
    <w:rsid w:val="002F305B"/>
    <w:rsid w:val="002F4C68"/>
    <w:rsid w:val="002F7A27"/>
    <w:rsid w:val="00300E38"/>
    <w:rsid w:val="003020ED"/>
    <w:rsid w:val="00303C84"/>
    <w:rsid w:val="0030447C"/>
    <w:rsid w:val="00307038"/>
    <w:rsid w:val="003100BF"/>
    <w:rsid w:val="0031048D"/>
    <w:rsid w:val="003105FB"/>
    <w:rsid w:val="003107E3"/>
    <w:rsid w:val="00311D81"/>
    <w:rsid w:val="00314C69"/>
    <w:rsid w:val="00314F9C"/>
    <w:rsid w:val="0031529F"/>
    <w:rsid w:val="0031605E"/>
    <w:rsid w:val="00321AD8"/>
    <w:rsid w:val="003227AA"/>
    <w:rsid w:val="00322C02"/>
    <w:rsid w:val="003243EB"/>
    <w:rsid w:val="0032479D"/>
    <w:rsid w:val="0032533C"/>
    <w:rsid w:val="00331291"/>
    <w:rsid w:val="00333F98"/>
    <w:rsid w:val="00334B38"/>
    <w:rsid w:val="003365EC"/>
    <w:rsid w:val="00336895"/>
    <w:rsid w:val="00336C47"/>
    <w:rsid w:val="003423FD"/>
    <w:rsid w:val="0035027A"/>
    <w:rsid w:val="003520B1"/>
    <w:rsid w:val="00352442"/>
    <w:rsid w:val="00353704"/>
    <w:rsid w:val="00353DF8"/>
    <w:rsid w:val="0035486F"/>
    <w:rsid w:val="00354A36"/>
    <w:rsid w:val="00354B04"/>
    <w:rsid w:val="0035575F"/>
    <w:rsid w:val="0035583A"/>
    <w:rsid w:val="00355B25"/>
    <w:rsid w:val="0035615F"/>
    <w:rsid w:val="00357740"/>
    <w:rsid w:val="003650CB"/>
    <w:rsid w:val="00366D55"/>
    <w:rsid w:val="003678C9"/>
    <w:rsid w:val="00367D15"/>
    <w:rsid w:val="00371BDF"/>
    <w:rsid w:val="00372720"/>
    <w:rsid w:val="0037277E"/>
    <w:rsid w:val="00373D16"/>
    <w:rsid w:val="0037720E"/>
    <w:rsid w:val="00377426"/>
    <w:rsid w:val="003809B0"/>
    <w:rsid w:val="0038372E"/>
    <w:rsid w:val="00384C64"/>
    <w:rsid w:val="00384F49"/>
    <w:rsid w:val="00385850"/>
    <w:rsid w:val="0038702B"/>
    <w:rsid w:val="003875E6"/>
    <w:rsid w:val="003900E0"/>
    <w:rsid w:val="0039091A"/>
    <w:rsid w:val="00390938"/>
    <w:rsid w:val="00391120"/>
    <w:rsid w:val="00392DE4"/>
    <w:rsid w:val="00396B0A"/>
    <w:rsid w:val="003A1254"/>
    <w:rsid w:val="003A1675"/>
    <w:rsid w:val="003A3298"/>
    <w:rsid w:val="003A399B"/>
    <w:rsid w:val="003A3E50"/>
    <w:rsid w:val="003A44BF"/>
    <w:rsid w:val="003A5088"/>
    <w:rsid w:val="003A51E9"/>
    <w:rsid w:val="003A5BBA"/>
    <w:rsid w:val="003A7F2C"/>
    <w:rsid w:val="003B60BC"/>
    <w:rsid w:val="003C0600"/>
    <w:rsid w:val="003C0D9A"/>
    <w:rsid w:val="003C15E8"/>
    <w:rsid w:val="003C1DC6"/>
    <w:rsid w:val="003C2F5F"/>
    <w:rsid w:val="003C3048"/>
    <w:rsid w:val="003C5832"/>
    <w:rsid w:val="003C6859"/>
    <w:rsid w:val="003D2BA9"/>
    <w:rsid w:val="003D5496"/>
    <w:rsid w:val="003D58B6"/>
    <w:rsid w:val="003E2864"/>
    <w:rsid w:val="003E32EB"/>
    <w:rsid w:val="003E3C51"/>
    <w:rsid w:val="003E6E6B"/>
    <w:rsid w:val="003E6FD7"/>
    <w:rsid w:val="003F4778"/>
    <w:rsid w:val="003F564F"/>
    <w:rsid w:val="003F5A9A"/>
    <w:rsid w:val="003F5E8A"/>
    <w:rsid w:val="0040067F"/>
    <w:rsid w:val="00401226"/>
    <w:rsid w:val="0040215C"/>
    <w:rsid w:val="0040376A"/>
    <w:rsid w:val="00404274"/>
    <w:rsid w:val="00404387"/>
    <w:rsid w:val="004047E8"/>
    <w:rsid w:val="00404A6F"/>
    <w:rsid w:val="00404EBC"/>
    <w:rsid w:val="004063FD"/>
    <w:rsid w:val="004120AE"/>
    <w:rsid w:val="00412D47"/>
    <w:rsid w:val="00417816"/>
    <w:rsid w:val="00420AF5"/>
    <w:rsid w:val="00421331"/>
    <w:rsid w:val="00422807"/>
    <w:rsid w:val="00426F8E"/>
    <w:rsid w:val="00427089"/>
    <w:rsid w:val="004276BC"/>
    <w:rsid w:val="00427B8B"/>
    <w:rsid w:val="004322D0"/>
    <w:rsid w:val="0043456F"/>
    <w:rsid w:val="004351AC"/>
    <w:rsid w:val="00435315"/>
    <w:rsid w:val="00435B5F"/>
    <w:rsid w:val="0044013A"/>
    <w:rsid w:val="004412B7"/>
    <w:rsid w:val="004416AA"/>
    <w:rsid w:val="0044367E"/>
    <w:rsid w:val="00443878"/>
    <w:rsid w:val="00444848"/>
    <w:rsid w:val="00451721"/>
    <w:rsid w:val="0045204C"/>
    <w:rsid w:val="004540BA"/>
    <w:rsid w:val="00456179"/>
    <w:rsid w:val="0045727F"/>
    <w:rsid w:val="004615E8"/>
    <w:rsid w:val="00461AD1"/>
    <w:rsid w:val="004622D6"/>
    <w:rsid w:val="00463E2D"/>
    <w:rsid w:val="00464C75"/>
    <w:rsid w:val="00466CD9"/>
    <w:rsid w:val="00467483"/>
    <w:rsid w:val="0046782A"/>
    <w:rsid w:val="00471DE6"/>
    <w:rsid w:val="00473C8D"/>
    <w:rsid w:val="00474107"/>
    <w:rsid w:val="00474BA3"/>
    <w:rsid w:val="00476997"/>
    <w:rsid w:val="0048076E"/>
    <w:rsid w:val="0048397F"/>
    <w:rsid w:val="00484442"/>
    <w:rsid w:val="00485DBD"/>
    <w:rsid w:val="00485E3E"/>
    <w:rsid w:val="00486F7B"/>
    <w:rsid w:val="00490C26"/>
    <w:rsid w:val="00493A65"/>
    <w:rsid w:val="0049422B"/>
    <w:rsid w:val="00495564"/>
    <w:rsid w:val="00497B96"/>
    <w:rsid w:val="004A142B"/>
    <w:rsid w:val="004A39A9"/>
    <w:rsid w:val="004A432D"/>
    <w:rsid w:val="004A7078"/>
    <w:rsid w:val="004B0ADE"/>
    <w:rsid w:val="004B1292"/>
    <w:rsid w:val="004B18C0"/>
    <w:rsid w:val="004B4C54"/>
    <w:rsid w:val="004B5479"/>
    <w:rsid w:val="004B6BBB"/>
    <w:rsid w:val="004B7542"/>
    <w:rsid w:val="004B7620"/>
    <w:rsid w:val="004C0002"/>
    <w:rsid w:val="004C19F0"/>
    <w:rsid w:val="004C2604"/>
    <w:rsid w:val="004C2BA8"/>
    <w:rsid w:val="004C2DCF"/>
    <w:rsid w:val="004C419C"/>
    <w:rsid w:val="004C4BE3"/>
    <w:rsid w:val="004C6A5E"/>
    <w:rsid w:val="004D02C4"/>
    <w:rsid w:val="004D1634"/>
    <w:rsid w:val="004D284D"/>
    <w:rsid w:val="004D4C6E"/>
    <w:rsid w:val="004D5774"/>
    <w:rsid w:val="004D6FFE"/>
    <w:rsid w:val="004D7228"/>
    <w:rsid w:val="004D7C7A"/>
    <w:rsid w:val="004E0CFF"/>
    <w:rsid w:val="004E171F"/>
    <w:rsid w:val="004E2BA8"/>
    <w:rsid w:val="004E5691"/>
    <w:rsid w:val="004E5EF8"/>
    <w:rsid w:val="004E6977"/>
    <w:rsid w:val="004E6E17"/>
    <w:rsid w:val="004F6734"/>
    <w:rsid w:val="004F73BA"/>
    <w:rsid w:val="004F7F81"/>
    <w:rsid w:val="00501E36"/>
    <w:rsid w:val="00502305"/>
    <w:rsid w:val="005046B4"/>
    <w:rsid w:val="00505028"/>
    <w:rsid w:val="00505340"/>
    <w:rsid w:val="00505D7C"/>
    <w:rsid w:val="00506AEB"/>
    <w:rsid w:val="00510A2E"/>
    <w:rsid w:val="00512583"/>
    <w:rsid w:val="00513184"/>
    <w:rsid w:val="00513605"/>
    <w:rsid w:val="005141DF"/>
    <w:rsid w:val="0051691D"/>
    <w:rsid w:val="00517427"/>
    <w:rsid w:val="00517C5C"/>
    <w:rsid w:val="00526748"/>
    <w:rsid w:val="0052722F"/>
    <w:rsid w:val="0053132E"/>
    <w:rsid w:val="0053212A"/>
    <w:rsid w:val="00533E0D"/>
    <w:rsid w:val="005357A2"/>
    <w:rsid w:val="005367EE"/>
    <w:rsid w:val="0054069D"/>
    <w:rsid w:val="00540E32"/>
    <w:rsid w:val="005416FB"/>
    <w:rsid w:val="00541DB9"/>
    <w:rsid w:val="005424B0"/>
    <w:rsid w:val="0054457E"/>
    <w:rsid w:val="00545AC2"/>
    <w:rsid w:val="00547B5D"/>
    <w:rsid w:val="005510C2"/>
    <w:rsid w:val="00551807"/>
    <w:rsid w:val="00551D47"/>
    <w:rsid w:val="00554539"/>
    <w:rsid w:val="0055776E"/>
    <w:rsid w:val="005606EA"/>
    <w:rsid w:val="00560D81"/>
    <w:rsid w:val="005625BD"/>
    <w:rsid w:val="00563CEB"/>
    <w:rsid w:val="00566420"/>
    <w:rsid w:val="0056672D"/>
    <w:rsid w:val="00572BB0"/>
    <w:rsid w:val="005740FF"/>
    <w:rsid w:val="00574D82"/>
    <w:rsid w:val="00574E50"/>
    <w:rsid w:val="00575D71"/>
    <w:rsid w:val="0057621E"/>
    <w:rsid w:val="005813BC"/>
    <w:rsid w:val="005836F9"/>
    <w:rsid w:val="00585040"/>
    <w:rsid w:val="005860D2"/>
    <w:rsid w:val="00586A04"/>
    <w:rsid w:val="00586D62"/>
    <w:rsid w:val="00592594"/>
    <w:rsid w:val="00592C1A"/>
    <w:rsid w:val="005935DB"/>
    <w:rsid w:val="005944A2"/>
    <w:rsid w:val="00594E58"/>
    <w:rsid w:val="00595D25"/>
    <w:rsid w:val="005967A1"/>
    <w:rsid w:val="00596ECE"/>
    <w:rsid w:val="00597FD1"/>
    <w:rsid w:val="005A169B"/>
    <w:rsid w:val="005A1A60"/>
    <w:rsid w:val="005A5D83"/>
    <w:rsid w:val="005A67C5"/>
    <w:rsid w:val="005B45B2"/>
    <w:rsid w:val="005B500A"/>
    <w:rsid w:val="005B5643"/>
    <w:rsid w:val="005B58AB"/>
    <w:rsid w:val="005C0ED2"/>
    <w:rsid w:val="005C265E"/>
    <w:rsid w:val="005C3E89"/>
    <w:rsid w:val="005C472C"/>
    <w:rsid w:val="005C4B81"/>
    <w:rsid w:val="005C5016"/>
    <w:rsid w:val="005C6854"/>
    <w:rsid w:val="005D0171"/>
    <w:rsid w:val="005D0801"/>
    <w:rsid w:val="005D0965"/>
    <w:rsid w:val="005D1BE0"/>
    <w:rsid w:val="005D255D"/>
    <w:rsid w:val="005D2635"/>
    <w:rsid w:val="005D4358"/>
    <w:rsid w:val="005D52EF"/>
    <w:rsid w:val="005D64FD"/>
    <w:rsid w:val="005E0377"/>
    <w:rsid w:val="005E0CA1"/>
    <w:rsid w:val="005E0DE4"/>
    <w:rsid w:val="005E1EEE"/>
    <w:rsid w:val="005E2194"/>
    <w:rsid w:val="005E4CE8"/>
    <w:rsid w:val="005E4FFC"/>
    <w:rsid w:val="005E6B0A"/>
    <w:rsid w:val="005E78DD"/>
    <w:rsid w:val="005F1139"/>
    <w:rsid w:val="005F382C"/>
    <w:rsid w:val="005F6116"/>
    <w:rsid w:val="00606896"/>
    <w:rsid w:val="00606A13"/>
    <w:rsid w:val="0061087D"/>
    <w:rsid w:val="00611DB0"/>
    <w:rsid w:val="0061311C"/>
    <w:rsid w:val="006149B6"/>
    <w:rsid w:val="006149E7"/>
    <w:rsid w:val="00621665"/>
    <w:rsid w:val="00622F8A"/>
    <w:rsid w:val="00623C66"/>
    <w:rsid w:val="006242B0"/>
    <w:rsid w:val="00625172"/>
    <w:rsid w:val="00627553"/>
    <w:rsid w:val="00630A5E"/>
    <w:rsid w:val="00631238"/>
    <w:rsid w:val="00631268"/>
    <w:rsid w:val="0063243B"/>
    <w:rsid w:val="00632BF2"/>
    <w:rsid w:val="006331CB"/>
    <w:rsid w:val="00634380"/>
    <w:rsid w:val="00635B7A"/>
    <w:rsid w:val="00635C8D"/>
    <w:rsid w:val="0063790E"/>
    <w:rsid w:val="006413FA"/>
    <w:rsid w:val="00645E2D"/>
    <w:rsid w:val="0064602E"/>
    <w:rsid w:val="00646F8E"/>
    <w:rsid w:val="006470F0"/>
    <w:rsid w:val="00647252"/>
    <w:rsid w:val="00647459"/>
    <w:rsid w:val="00647CE6"/>
    <w:rsid w:val="00650755"/>
    <w:rsid w:val="0065336F"/>
    <w:rsid w:val="0065411D"/>
    <w:rsid w:val="00654D24"/>
    <w:rsid w:val="00656429"/>
    <w:rsid w:val="00664112"/>
    <w:rsid w:val="00664870"/>
    <w:rsid w:val="00665288"/>
    <w:rsid w:val="006675B7"/>
    <w:rsid w:val="00667776"/>
    <w:rsid w:val="00667F4B"/>
    <w:rsid w:val="0067054F"/>
    <w:rsid w:val="00672D64"/>
    <w:rsid w:val="00673C45"/>
    <w:rsid w:val="00673E29"/>
    <w:rsid w:val="006744A8"/>
    <w:rsid w:val="00676227"/>
    <w:rsid w:val="0067751B"/>
    <w:rsid w:val="00677DC2"/>
    <w:rsid w:val="006828B9"/>
    <w:rsid w:val="00683FED"/>
    <w:rsid w:val="0068428D"/>
    <w:rsid w:val="00685901"/>
    <w:rsid w:val="0068643A"/>
    <w:rsid w:val="00693333"/>
    <w:rsid w:val="0069384B"/>
    <w:rsid w:val="00696A05"/>
    <w:rsid w:val="006A10BA"/>
    <w:rsid w:val="006A10E8"/>
    <w:rsid w:val="006A11AF"/>
    <w:rsid w:val="006A21F5"/>
    <w:rsid w:val="006A2B39"/>
    <w:rsid w:val="006A38B6"/>
    <w:rsid w:val="006A4057"/>
    <w:rsid w:val="006A4EDD"/>
    <w:rsid w:val="006A61F5"/>
    <w:rsid w:val="006A6944"/>
    <w:rsid w:val="006A76F9"/>
    <w:rsid w:val="006A7D31"/>
    <w:rsid w:val="006B23BB"/>
    <w:rsid w:val="006B5077"/>
    <w:rsid w:val="006B58C5"/>
    <w:rsid w:val="006C0367"/>
    <w:rsid w:val="006C0A0A"/>
    <w:rsid w:val="006C0DD0"/>
    <w:rsid w:val="006C110C"/>
    <w:rsid w:val="006C3E96"/>
    <w:rsid w:val="006C55A1"/>
    <w:rsid w:val="006C5A41"/>
    <w:rsid w:val="006C6842"/>
    <w:rsid w:val="006D1169"/>
    <w:rsid w:val="006D150C"/>
    <w:rsid w:val="006D3716"/>
    <w:rsid w:val="006D50D1"/>
    <w:rsid w:val="006D5338"/>
    <w:rsid w:val="006E0ABB"/>
    <w:rsid w:val="006E14DC"/>
    <w:rsid w:val="006E1745"/>
    <w:rsid w:val="006E228A"/>
    <w:rsid w:val="006E2D5C"/>
    <w:rsid w:val="006E37FC"/>
    <w:rsid w:val="006E4689"/>
    <w:rsid w:val="006E5797"/>
    <w:rsid w:val="006E6068"/>
    <w:rsid w:val="006E74AD"/>
    <w:rsid w:val="006F1DD7"/>
    <w:rsid w:val="006F2428"/>
    <w:rsid w:val="006F2AA8"/>
    <w:rsid w:val="006F2DF1"/>
    <w:rsid w:val="006F709A"/>
    <w:rsid w:val="006F7B43"/>
    <w:rsid w:val="00702075"/>
    <w:rsid w:val="00702BFF"/>
    <w:rsid w:val="00702D2E"/>
    <w:rsid w:val="00704AAD"/>
    <w:rsid w:val="0070545D"/>
    <w:rsid w:val="00705AC0"/>
    <w:rsid w:val="00707276"/>
    <w:rsid w:val="0071019E"/>
    <w:rsid w:val="007105CC"/>
    <w:rsid w:val="00720C11"/>
    <w:rsid w:val="00723D8E"/>
    <w:rsid w:val="00724F38"/>
    <w:rsid w:val="00724FEC"/>
    <w:rsid w:val="00725085"/>
    <w:rsid w:val="007276EC"/>
    <w:rsid w:val="007301DD"/>
    <w:rsid w:val="00730757"/>
    <w:rsid w:val="00732953"/>
    <w:rsid w:val="00732AA2"/>
    <w:rsid w:val="00733ECA"/>
    <w:rsid w:val="0073626F"/>
    <w:rsid w:val="007370BD"/>
    <w:rsid w:val="00740BF9"/>
    <w:rsid w:val="007429B0"/>
    <w:rsid w:val="0074473B"/>
    <w:rsid w:val="00746931"/>
    <w:rsid w:val="00747E3D"/>
    <w:rsid w:val="00750393"/>
    <w:rsid w:val="00750972"/>
    <w:rsid w:val="00750E7A"/>
    <w:rsid w:val="0075116C"/>
    <w:rsid w:val="00752EF6"/>
    <w:rsid w:val="00756033"/>
    <w:rsid w:val="007561A0"/>
    <w:rsid w:val="007570F5"/>
    <w:rsid w:val="00757364"/>
    <w:rsid w:val="00760A56"/>
    <w:rsid w:val="0076120D"/>
    <w:rsid w:val="00761715"/>
    <w:rsid w:val="007664CB"/>
    <w:rsid w:val="00767E82"/>
    <w:rsid w:val="00770D4D"/>
    <w:rsid w:val="00772D26"/>
    <w:rsid w:val="00773196"/>
    <w:rsid w:val="0077436C"/>
    <w:rsid w:val="00775078"/>
    <w:rsid w:val="00776658"/>
    <w:rsid w:val="0077707A"/>
    <w:rsid w:val="0077756E"/>
    <w:rsid w:val="00780362"/>
    <w:rsid w:val="00780B4F"/>
    <w:rsid w:val="007810EF"/>
    <w:rsid w:val="007831BD"/>
    <w:rsid w:val="00787133"/>
    <w:rsid w:val="00787A4D"/>
    <w:rsid w:val="00790914"/>
    <w:rsid w:val="00791354"/>
    <w:rsid w:val="007919C3"/>
    <w:rsid w:val="00792EE8"/>
    <w:rsid w:val="00793126"/>
    <w:rsid w:val="007947D1"/>
    <w:rsid w:val="007A216B"/>
    <w:rsid w:val="007A24FB"/>
    <w:rsid w:val="007A5935"/>
    <w:rsid w:val="007A5EDE"/>
    <w:rsid w:val="007A7867"/>
    <w:rsid w:val="007B1021"/>
    <w:rsid w:val="007B2547"/>
    <w:rsid w:val="007B3041"/>
    <w:rsid w:val="007B3C93"/>
    <w:rsid w:val="007B41A9"/>
    <w:rsid w:val="007B445D"/>
    <w:rsid w:val="007B4A59"/>
    <w:rsid w:val="007B4A5E"/>
    <w:rsid w:val="007B4DA8"/>
    <w:rsid w:val="007B63B1"/>
    <w:rsid w:val="007B72BD"/>
    <w:rsid w:val="007B77FA"/>
    <w:rsid w:val="007B7C17"/>
    <w:rsid w:val="007C02BF"/>
    <w:rsid w:val="007C0B31"/>
    <w:rsid w:val="007C15BD"/>
    <w:rsid w:val="007C4A91"/>
    <w:rsid w:val="007C5CAB"/>
    <w:rsid w:val="007C62BD"/>
    <w:rsid w:val="007C71DE"/>
    <w:rsid w:val="007D2913"/>
    <w:rsid w:val="007D30D5"/>
    <w:rsid w:val="007D366B"/>
    <w:rsid w:val="007D3A46"/>
    <w:rsid w:val="007D53BF"/>
    <w:rsid w:val="007D65A7"/>
    <w:rsid w:val="007E0FB2"/>
    <w:rsid w:val="007E3011"/>
    <w:rsid w:val="007E435B"/>
    <w:rsid w:val="007E52B6"/>
    <w:rsid w:val="007E62CD"/>
    <w:rsid w:val="007E6C84"/>
    <w:rsid w:val="007E6D75"/>
    <w:rsid w:val="007E7305"/>
    <w:rsid w:val="007F01A9"/>
    <w:rsid w:val="007F0887"/>
    <w:rsid w:val="007F3EE4"/>
    <w:rsid w:val="007F49CD"/>
    <w:rsid w:val="007F5437"/>
    <w:rsid w:val="007F594D"/>
    <w:rsid w:val="007F68F9"/>
    <w:rsid w:val="007F7926"/>
    <w:rsid w:val="007F7ED3"/>
    <w:rsid w:val="008024C1"/>
    <w:rsid w:val="00804224"/>
    <w:rsid w:val="00804F57"/>
    <w:rsid w:val="0080628C"/>
    <w:rsid w:val="00810546"/>
    <w:rsid w:val="00811373"/>
    <w:rsid w:val="008116FD"/>
    <w:rsid w:val="00814B54"/>
    <w:rsid w:val="008154C4"/>
    <w:rsid w:val="00816818"/>
    <w:rsid w:val="00816A54"/>
    <w:rsid w:val="00816E28"/>
    <w:rsid w:val="00820467"/>
    <w:rsid w:val="00821461"/>
    <w:rsid w:val="008246BA"/>
    <w:rsid w:val="00824948"/>
    <w:rsid w:val="00824E84"/>
    <w:rsid w:val="00826942"/>
    <w:rsid w:val="00830629"/>
    <w:rsid w:val="00834B94"/>
    <w:rsid w:val="008376C6"/>
    <w:rsid w:val="00842029"/>
    <w:rsid w:val="00842322"/>
    <w:rsid w:val="00842B19"/>
    <w:rsid w:val="0084388C"/>
    <w:rsid w:val="008439B9"/>
    <w:rsid w:val="008454DC"/>
    <w:rsid w:val="00845700"/>
    <w:rsid w:val="00845FEE"/>
    <w:rsid w:val="008469BB"/>
    <w:rsid w:val="0084727F"/>
    <w:rsid w:val="008502AE"/>
    <w:rsid w:val="0085039B"/>
    <w:rsid w:val="008520F1"/>
    <w:rsid w:val="008526FE"/>
    <w:rsid w:val="008603E0"/>
    <w:rsid w:val="0086364F"/>
    <w:rsid w:val="00863F2A"/>
    <w:rsid w:val="008650B0"/>
    <w:rsid w:val="00870D16"/>
    <w:rsid w:val="008711A3"/>
    <w:rsid w:val="00875FF0"/>
    <w:rsid w:val="008768A7"/>
    <w:rsid w:val="00881190"/>
    <w:rsid w:val="0088372E"/>
    <w:rsid w:val="00884E02"/>
    <w:rsid w:val="00885A3F"/>
    <w:rsid w:val="0088601A"/>
    <w:rsid w:val="00890BF7"/>
    <w:rsid w:val="008923EF"/>
    <w:rsid w:val="0089532B"/>
    <w:rsid w:val="008A06BE"/>
    <w:rsid w:val="008A22A3"/>
    <w:rsid w:val="008A727F"/>
    <w:rsid w:val="008B4963"/>
    <w:rsid w:val="008B4DE4"/>
    <w:rsid w:val="008B4F45"/>
    <w:rsid w:val="008B5FF5"/>
    <w:rsid w:val="008C05FF"/>
    <w:rsid w:val="008C0D41"/>
    <w:rsid w:val="008C0D51"/>
    <w:rsid w:val="008C15D1"/>
    <w:rsid w:val="008C1E16"/>
    <w:rsid w:val="008C481C"/>
    <w:rsid w:val="008C59FB"/>
    <w:rsid w:val="008C5E1A"/>
    <w:rsid w:val="008C62D5"/>
    <w:rsid w:val="008D23AD"/>
    <w:rsid w:val="008D263D"/>
    <w:rsid w:val="008D6206"/>
    <w:rsid w:val="008D6A51"/>
    <w:rsid w:val="008E05B4"/>
    <w:rsid w:val="008E1BB3"/>
    <w:rsid w:val="008E21EA"/>
    <w:rsid w:val="008E3E91"/>
    <w:rsid w:val="008E49D6"/>
    <w:rsid w:val="008E53E0"/>
    <w:rsid w:val="008E71C4"/>
    <w:rsid w:val="008E7EC8"/>
    <w:rsid w:val="008F09D2"/>
    <w:rsid w:val="008F1121"/>
    <w:rsid w:val="008F19B4"/>
    <w:rsid w:val="008F27DB"/>
    <w:rsid w:val="008F351E"/>
    <w:rsid w:val="008F58E8"/>
    <w:rsid w:val="008F625A"/>
    <w:rsid w:val="008F7130"/>
    <w:rsid w:val="009027F9"/>
    <w:rsid w:val="009030DE"/>
    <w:rsid w:val="00903679"/>
    <w:rsid w:val="00904E3D"/>
    <w:rsid w:val="00904E92"/>
    <w:rsid w:val="00904EFA"/>
    <w:rsid w:val="009101CA"/>
    <w:rsid w:val="00911E0E"/>
    <w:rsid w:val="0091211A"/>
    <w:rsid w:val="009127EA"/>
    <w:rsid w:val="009136C4"/>
    <w:rsid w:val="00914FF4"/>
    <w:rsid w:val="0091598D"/>
    <w:rsid w:val="00915B64"/>
    <w:rsid w:val="00915DA8"/>
    <w:rsid w:val="00916592"/>
    <w:rsid w:val="0091675B"/>
    <w:rsid w:val="00917C78"/>
    <w:rsid w:val="009213C4"/>
    <w:rsid w:val="00921FEB"/>
    <w:rsid w:val="00923EE1"/>
    <w:rsid w:val="0092430C"/>
    <w:rsid w:val="00924506"/>
    <w:rsid w:val="00925E3C"/>
    <w:rsid w:val="009272B7"/>
    <w:rsid w:val="00930B02"/>
    <w:rsid w:val="0093107C"/>
    <w:rsid w:val="00933262"/>
    <w:rsid w:val="00933292"/>
    <w:rsid w:val="00935A2B"/>
    <w:rsid w:val="009406B1"/>
    <w:rsid w:val="00940E75"/>
    <w:rsid w:val="009425A8"/>
    <w:rsid w:val="0094261A"/>
    <w:rsid w:val="009441EA"/>
    <w:rsid w:val="00944AD1"/>
    <w:rsid w:val="00944E37"/>
    <w:rsid w:val="00950F3D"/>
    <w:rsid w:val="00951F88"/>
    <w:rsid w:val="00952E52"/>
    <w:rsid w:val="0095348A"/>
    <w:rsid w:val="009563B7"/>
    <w:rsid w:val="0095728A"/>
    <w:rsid w:val="00960722"/>
    <w:rsid w:val="00960825"/>
    <w:rsid w:val="0096089D"/>
    <w:rsid w:val="009610EB"/>
    <w:rsid w:val="00961898"/>
    <w:rsid w:val="009621FE"/>
    <w:rsid w:val="0096264B"/>
    <w:rsid w:val="009649E1"/>
    <w:rsid w:val="00965AD8"/>
    <w:rsid w:val="00965C02"/>
    <w:rsid w:val="0096722F"/>
    <w:rsid w:val="0097084E"/>
    <w:rsid w:val="00970915"/>
    <w:rsid w:val="0097164D"/>
    <w:rsid w:val="009717B3"/>
    <w:rsid w:val="00972A1F"/>
    <w:rsid w:val="00973F47"/>
    <w:rsid w:val="00975795"/>
    <w:rsid w:val="009761FA"/>
    <w:rsid w:val="0097634C"/>
    <w:rsid w:val="009763E8"/>
    <w:rsid w:val="00976606"/>
    <w:rsid w:val="009767A0"/>
    <w:rsid w:val="0097772B"/>
    <w:rsid w:val="00980737"/>
    <w:rsid w:val="00981738"/>
    <w:rsid w:val="009827BF"/>
    <w:rsid w:val="00982B61"/>
    <w:rsid w:val="0098511C"/>
    <w:rsid w:val="009873C3"/>
    <w:rsid w:val="009908F6"/>
    <w:rsid w:val="00990D07"/>
    <w:rsid w:val="0099167E"/>
    <w:rsid w:val="00991746"/>
    <w:rsid w:val="009923A0"/>
    <w:rsid w:val="0099453E"/>
    <w:rsid w:val="00997068"/>
    <w:rsid w:val="00997770"/>
    <w:rsid w:val="00997F77"/>
    <w:rsid w:val="009A0416"/>
    <w:rsid w:val="009A13AB"/>
    <w:rsid w:val="009A2200"/>
    <w:rsid w:val="009A3254"/>
    <w:rsid w:val="009A6111"/>
    <w:rsid w:val="009A69D8"/>
    <w:rsid w:val="009A7A2C"/>
    <w:rsid w:val="009A7DC1"/>
    <w:rsid w:val="009B01BC"/>
    <w:rsid w:val="009B1679"/>
    <w:rsid w:val="009B3A56"/>
    <w:rsid w:val="009B434C"/>
    <w:rsid w:val="009B474D"/>
    <w:rsid w:val="009B7288"/>
    <w:rsid w:val="009C1DF8"/>
    <w:rsid w:val="009C3A74"/>
    <w:rsid w:val="009C5192"/>
    <w:rsid w:val="009C7567"/>
    <w:rsid w:val="009D05CB"/>
    <w:rsid w:val="009D282C"/>
    <w:rsid w:val="009D3682"/>
    <w:rsid w:val="009D3DE4"/>
    <w:rsid w:val="009E05A0"/>
    <w:rsid w:val="009E1571"/>
    <w:rsid w:val="009E2DFA"/>
    <w:rsid w:val="009E3D25"/>
    <w:rsid w:val="009E5256"/>
    <w:rsid w:val="009E681A"/>
    <w:rsid w:val="009E7C28"/>
    <w:rsid w:val="009F0C3D"/>
    <w:rsid w:val="009F2429"/>
    <w:rsid w:val="009F2644"/>
    <w:rsid w:val="00A00393"/>
    <w:rsid w:val="00A015C3"/>
    <w:rsid w:val="00A051F8"/>
    <w:rsid w:val="00A06819"/>
    <w:rsid w:val="00A06A20"/>
    <w:rsid w:val="00A072AB"/>
    <w:rsid w:val="00A11563"/>
    <w:rsid w:val="00A11D19"/>
    <w:rsid w:val="00A11D61"/>
    <w:rsid w:val="00A128BB"/>
    <w:rsid w:val="00A12AA1"/>
    <w:rsid w:val="00A14004"/>
    <w:rsid w:val="00A1444C"/>
    <w:rsid w:val="00A14A5C"/>
    <w:rsid w:val="00A14DE6"/>
    <w:rsid w:val="00A15DAE"/>
    <w:rsid w:val="00A16BD6"/>
    <w:rsid w:val="00A211A8"/>
    <w:rsid w:val="00A22861"/>
    <w:rsid w:val="00A234EA"/>
    <w:rsid w:val="00A26639"/>
    <w:rsid w:val="00A27073"/>
    <w:rsid w:val="00A3121D"/>
    <w:rsid w:val="00A31367"/>
    <w:rsid w:val="00A32B7F"/>
    <w:rsid w:val="00A338BB"/>
    <w:rsid w:val="00A359E2"/>
    <w:rsid w:val="00A35B67"/>
    <w:rsid w:val="00A35F1E"/>
    <w:rsid w:val="00A37C49"/>
    <w:rsid w:val="00A40412"/>
    <w:rsid w:val="00A42521"/>
    <w:rsid w:val="00A43CDA"/>
    <w:rsid w:val="00A43EE9"/>
    <w:rsid w:val="00A454A7"/>
    <w:rsid w:val="00A45C7D"/>
    <w:rsid w:val="00A46464"/>
    <w:rsid w:val="00A467DF"/>
    <w:rsid w:val="00A50ED0"/>
    <w:rsid w:val="00A52FF4"/>
    <w:rsid w:val="00A538CC"/>
    <w:rsid w:val="00A5392C"/>
    <w:rsid w:val="00A54786"/>
    <w:rsid w:val="00A54915"/>
    <w:rsid w:val="00A55178"/>
    <w:rsid w:val="00A56B0E"/>
    <w:rsid w:val="00A635AD"/>
    <w:rsid w:val="00A644A2"/>
    <w:rsid w:val="00A66503"/>
    <w:rsid w:val="00A7061C"/>
    <w:rsid w:val="00A70BE8"/>
    <w:rsid w:val="00A716DF"/>
    <w:rsid w:val="00A72556"/>
    <w:rsid w:val="00A7784B"/>
    <w:rsid w:val="00A82C90"/>
    <w:rsid w:val="00A835F4"/>
    <w:rsid w:val="00A83647"/>
    <w:rsid w:val="00A83B55"/>
    <w:rsid w:val="00A85661"/>
    <w:rsid w:val="00A9216A"/>
    <w:rsid w:val="00A933D6"/>
    <w:rsid w:val="00A93832"/>
    <w:rsid w:val="00A96884"/>
    <w:rsid w:val="00A96A71"/>
    <w:rsid w:val="00A97581"/>
    <w:rsid w:val="00A97C3F"/>
    <w:rsid w:val="00A97CFB"/>
    <w:rsid w:val="00AA1704"/>
    <w:rsid w:val="00AA322F"/>
    <w:rsid w:val="00AA330E"/>
    <w:rsid w:val="00AA3C10"/>
    <w:rsid w:val="00AA401F"/>
    <w:rsid w:val="00AA5B57"/>
    <w:rsid w:val="00AA65F6"/>
    <w:rsid w:val="00AA6C5A"/>
    <w:rsid w:val="00AA6C77"/>
    <w:rsid w:val="00AA6CC3"/>
    <w:rsid w:val="00AB0DFD"/>
    <w:rsid w:val="00AB21B6"/>
    <w:rsid w:val="00AB2411"/>
    <w:rsid w:val="00AB253F"/>
    <w:rsid w:val="00AB3E9D"/>
    <w:rsid w:val="00AB3F55"/>
    <w:rsid w:val="00AB45AC"/>
    <w:rsid w:val="00AB4950"/>
    <w:rsid w:val="00AC0119"/>
    <w:rsid w:val="00AC100C"/>
    <w:rsid w:val="00AC1A8A"/>
    <w:rsid w:val="00AC205C"/>
    <w:rsid w:val="00AC4900"/>
    <w:rsid w:val="00AC510F"/>
    <w:rsid w:val="00AC6F03"/>
    <w:rsid w:val="00AD08A3"/>
    <w:rsid w:val="00AD2369"/>
    <w:rsid w:val="00AD32EB"/>
    <w:rsid w:val="00AD3AFF"/>
    <w:rsid w:val="00AD404E"/>
    <w:rsid w:val="00AD4339"/>
    <w:rsid w:val="00AD6AA5"/>
    <w:rsid w:val="00AD6C5D"/>
    <w:rsid w:val="00AD75EC"/>
    <w:rsid w:val="00AE0C26"/>
    <w:rsid w:val="00AE284D"/>
    <w:rsid w:val="00AE2E88"/>
    <w:rsid w:val="00AE5226"/>
    <w:rsid w:val="00AE6406"/>
    <w:rsid w:val="00AE67D2"/>
    <w:rsid w:val="00AE6974"/>
    <w:rsid w:val="00AE6B29"/>
    <w:rsid w:val="00AE6F1F"/>
    <w:rsid w:val="00AE7B55"/>
    <w:rsid w:val="00AE7B56"/>
    <w:rsid w:val="00AE7BF7"/>
    <w:rsid w:val="00AF0DF1"/>
    <w:rsid w:val="00AF1396"/>
    <w:rsid w:val="00AF212B"/>
    <w:rsid w:val="00AF26C5"/>
    <w:rsid w:val="00AF2CAE"/>
    <w:rsid w:val="00AF313B"/>
    <w:rsid w:val="00AF3751"/>
    <w:rsid w:val="00AF50B3"/>
    <w:rsid w:val="00AF6868"/>
    <w:rsid w:val="00AF6EA2"/>
    <w:rsid w:val="00AF7942"/>
    <w:rsid w:val="00AF7B0D"/>
    <w:rsid w:val="00B02C23"/>
    <w:rsid w:val="00B03126"/>
    <w:rsid w:val="00B034C9"/>
    <w:rsid w:val="00B05AB2"/>
    <w:rsid w:val="00B10A3C"/>
    <w:rsid w:val="00B12F5A"/>
    <w:rsid w:val="00B16C15"/>
    <w:rsid w:val="00B20B31"/>
    <w:rsid w:val="00B2188B"/>
    <w:rsid w:val="00B22B1D"/>
    <w:rsid w:val="00B247D1"/>
    <w:rsid w:val="00B24AC6"/>
    <w:rsid w:val="00B25B2B"/>
    <w:rsid w:val="00B27E6F"/>
    <w:rsid w:val="00B30A1C"/>
    <w:rsid w:val="00B33B2F"/>
    <w:rsid w:val="00B34C17"/>
    <w:rsid w:val="00B373A1"/>
    <w:rsid w:val="00B37F2C"/>
    <w:rsid w:val="00B42D44"/>
    <w:rsid w:val="00B4395C"/>
    <w:rsid w:val="00B453E4"/>
    <w:rsid w:val="00B45894"/>
    <w:rsid w:val="00B45A88"/>
    <w:rsid w:val="00B45CEC"/>
    <w:rsid w:val="00B517F1"/>
    <w:rsid w:val="00B519B9"/>
    <w:rsid w:val="00B51ED5"/>
    <w:rsid w:val="00B527BE"/>
    <w:rsid w:val="00B533FD"/>
    <w:rsid w:val="00B538C1"/>
    <w:rsid w:val="00B53E0F"/>
    <w:rsid w:val="00B555FD"/>
    <w:rsid w:val="00B570E6"/>
    <w:rsid w:val="00B61536"/>
    <w:rsid w:val="00B61726"/>
    <w:rsid w:val="00B62692"/>
    <w:rsid w:val="00B64AAE"/>
    <w:rsid w:val="00B65787"/>
    <w:rsid w:val="00B767F9"/>
    <w:rsid w:val="00B81320"/>
    <w:rsid w:val="00B817EB"/>
    <w:rsid w:val="00B82141"/>
    <w:rsid w:val="00B8378E"/>
    <w:rsid w:val="00B83FC8"/>
    <w:rsid w:val="00B859FA"/>
    <w:rsid w:val="00B85B57"/>
    <w:rsid w:val="00B8637E"/>
    <w:rsid w:val="00B87E3E"/>
    <w:rsid w:val="00B904D0"/>
    <w:rsid w:val="00B924F3"/>
    <w:rsid w:val="00B94BA4"/>
    <w:rsid w:val="00B96DE7"/>
    <w:rsid w:val="00BA1A94"/>
    <w:rsid w:val="00BA2808"/>
    <w:rsid w:val="00BA2D1C"/>
    <w:rsid w:val="00BA35C3"/>
    <w:rsid w:val="00BA5A00"/>
    <w:rsid w:val="00BA5D89"/>
    <w:rsid w:val="00BA6143"/>
    <w:rsid w:val="00BA681A"/>
    <w:rsid w:val="00BB1B68"/>
    <w:rsid w:val="00BB3DCE"/>
    <w:rsid w:val="00BB4628"/>
    <w:rsid w:val="00BB59D2"/>
    <w:rsid w:val="00BB6457"/>
    <w:rsid w:val="00BB663D"/>
    <w:rsid w:val="00BB6837"/>
    <w:rsid w:val="00BB6F4C"/>
    <w:rsid w:val="00BB79A0"/>
    <w:rsid w:val="00BC0A67"/>
    <w:rsid w:val="00BC2981"/>
    <w:rsid w:val="00BC5A54"/>
    <w:rsid w:val="00BC668D"/>
    <w:rsid w:val="00BD2138"/>
    <w:rsid w:val="00BD31C0"/>
    <w:rsid w:val="00BD32B5"/>
    <w:rsid w:val="00BD6C18"/>
    <w:rsid w:val="00BE0AFF"/>
    <w:rsid w:val="00BE0BF7"/>
    <w:rsid w:val="00BE1AD0"/>
    <w:rsid w:val="00BE30F6"/>
    <w:rsid w:val="00BE4653"/>
    <w:rsid w:val="00BE7A6C"/>
    <w:rsid w:val="00BF0AC6"/>
    <w:rsid w:val="00BF23AD"/>
    <w:rsid w:val="00BF3347"/>
    <w:rsid w:val="00BF5218"/>
    <w:rsid w:val="00BF6B4A"/>
    <w:rsid w:val="00C0011C"/>
    <w:rsid w:val="00C00516"/>
    <w:rsid w:val="00C00C40"/>
    <w:rsid w:val="00C060AD"/>
    <w:rsid w:val="00C06971"/>
    <w:rsid w:val="00C1229A"/>
    <w:rsid w:val="00C12840"/>
    <w:rsid w:val="00C135D5"/>
    <w:rsid w:val="00C163D4"/>
    <w:rsid w:val="00C1663D"/>
    <w:rsid w:val="00C21B5A"/>
    <w:rsid w:val="00C223AE"/>
    <w:rsid w:val="00C22647"/>
    <w:rsid w:val="00C22D0D"/>
    <w:rsid w:val="00C23BE4"/>
    <w:rsid w:val="00C2671D"/>
    <w:rsid w:val="00C270A4"/>
    <w:rsid w:val="00C30904"/>
    <w:rsid w:val="00C3249C"/>
    <w:rsid w:val="00C34313"/>
    <w:rsid w:val="00C40740"/>
    <w:rsid w:val="00C41459"/>
    <w:rsid w:val="00C43644"/>
    <w:rsid w:val="00C44464"/>
    <w:rsid w:val="00C448C0"/>
    <w:rsid w:val="00C4645D"/>
    <w:rsid w:val="00C50153"/>
    <w:rsid w:val="00C50573"/>
    <w:rsid w:val="00C514F5"/>
    <w:rsid w:val="00C51DCF"/>
    <w:rsid w:val="00C52421"/>
    <w:rsid w:val="00C53C55"/>
    <w:rsid w:val="00C556F7"/>
    <w:rsid w:val="00C57903"/>
    <w:rsid w:val="00C60735"/>
    <w:rsid w:val="00C6286B"/>
    <w:rsid w:val="00C63C71"/>
    <w:rsid w:val="00C64B42"/>
    <w:rsid w:val="00C66E1C"/>
    <w:rsid w:val="00C670FC"/>
    <w:rsid w:val="00C67159"/>
    <w:rsid w:val="00C7127E"/>
    <w:rsid w:val="00C74443"/>
    <w:rsid w:val="00C749C9"/>
    <w:rsid w:val="00C7549C"/>
    <w:rsid w:val="00C77EBF"/>
    <w:rsid w:val="00C8132A"/>
    <w:rsid w:val="00C837FD"/>
    <w:rsid w:val="00C84295"/>
    <w:rsid w:val="00C84AA5"/>
    <w:rsid w:val="00C85560"/>
    <w:rsid w:val="00C86809"/>
    <w:rsid w:val="00C86BD4"/>
    <w:rsid w:val="00C874C4"/>
    <w:rsid w:val="00C90497"/>
    <w:rsid w:val="00C9401A"/>
    <w:rsid w:val="00C94A87"/>
    <w:rsid w:val="00C95089"/>
    <w:rsid w:val="00C95441"/>
    <w:rsid w:val="00C97B50"/>
    <w:rsid w:val="00C97E8E"/>
    <w:rsid w:val="00CA05F2"/>
    <w:rsid w:val="00CA0E6A"/>
    <w:rsid w:val="00CA1176"/>
    <w:rsid w:val="00CA2DFD"/>
    <w:rsid w:val="00CA2EA0"/>
    <w:rsid w:val="00CA33BC"/>
    <w:rsid w:val="00CA614E"/>
    <w:rsid w:val="00CA7B14"/>
    <w:rsid w:val="00CA7D02"/>
    <w:rsid w:val="00CB09D8"/>
    <w:rsid w:val="00CB0D30"/>
    <w:rsid w:val="00CB12FB"/>
    <w:rsid w:val="00CB1517"/>
    <w:rsid w:val="00CB1BC6"/>
    <w:rsid w:val="00CB2934"/>
    <w:rsid w:val="00CB3296"/>
    <w:rsid w:val="00CB57E4"/>
    <w:rsid w:val="00CB7219"/>
    <w:rsid w:val="00CC14D0"/>
    <w:rsid w:val="00CC2278"/>
    <w:rsid w:val="00CC421F"/>
    <w:rsid w:val="00CC473B"/>
    <w:rsid w:val="00CC479E"/>
    <w:rsid w:val="00CC6466"/>
    <w:rsid w:val="00CC6490"/>
    <w:rsid w:val="00CC6FF7"/>
    <w:rsid w:val="00CD0026"/>
    <w:rsid w:val="00CD00E0"/>
    <w:rsid w:val="00CD09AD"/>
    <w:rsid w:val="00CD0B2B"/>
    <w:rsid w:val="00CD0F53"/>
    <w:rsid w:val="00CD1273"/>
    <w:rsid w:val="00CD193C"/>
    <w:rsid w:val="00CD1C09"/>
    <w:rsid w:val="00CD357D"/>
    <w:rsid w:val="00CD471D"/>
    <w:rsid w:val="00CD51C7"/>
    <w:rsid w:val="00CD54ED"/>
    <w:rsid w:val="00CD5C37"/>
    <w:rsid w:val="00CE0178"/>
    <w:rsid w:val="00CE12D1"/>
    <w:rsid w:val="00CE2681"/>
    <w:rsid w:val="00CE48E1"/>
    <w:rsid w:val="00CE5892"/>
    <w:rsid w:val="00CF0835"/>
    <w:rsid w:val="00CF1674"/>
    <w:rsid w:val="00CF188B"/>
    <w:rsid w:val="00CF18A2"/>
    <w:rsid w:val="00CF1A02"/>
    <w:rsid w:val="00CF36BE"/>
    <w:rsid w:val="00CF412E"/>
    <w:rsid w:val="00CF5ABC"/>
    <w:rsid w:val="00CF5C69"/>
    <w:rsid w:val="00CF670E"/>
    <w:rsid w:val="00CF6A84"/>
    <w:rsid w:val="00CF7E34"/>
    <w:rsid w:val="00D01CB2"/>
    <w:rsid w:val="00D01E9C"/>
    <w:rsid w:val="00D03EC8"/>
    <w:rsid w:val="00D0512D"/>
    <w:rsid w:val="00D05364"/>
    <w:rsid w:val="00D11EB3"/>
    <w:rsid w:val="00D1225B"/>
    <w:rsid w:val="00D139ED"/>
    <w:rsid w:val="00D1485F"/>
    <w:rsid w:val="00D14C71"/>
    <w:rsid w:val="00D15083"/>
    <w:rsid w:val="00D15185"/>
    <w:rsid w:val="00D16534"/>
    <w:rsid w:val="00D17CF5"/>
    <w:rsid w:val="00D2070E"/>
    <w:rsid w:val="00D20C2E"/>
    <w:rsid w:val="00D225CD"/>
    <w:rsid w:val="00D247DA"/>
    <w:rsid w:val="00D24C64"/>
    <w:rsid w:val="00D24CEE"/>
    <w:rsid w:val="00D2662C"/>
    <w:rsid w:val="00D26EA7"/>
    <w:rsid w:val="00D3131D"/>
    <w:rsid w:val="00D313C6"/>
    <w:rsid w:val="00D33916"/>
    <w:rsid w:val="00D3398B"/>
    <w:rsid w:val="00D35268"/>
    <w:rsid w:val="00D35571"/>
    <w:rsid w:val="00D4020C"/>
    <w:rsid w:val="00D41F9C"/>
    <w:rsid w:val="00D42270"/>
    <w:rsid w:val="00D435F5"/>
    <w:rsid w:val="00D443FF"/>
    <w:rsid w:val="00D45561"/>
    <w:rsid w:val="00D465F6"/>
    <w:rsid w:val="00D478E3"/>
    <w:rsid w:val="00D5006A"/>
    <w:rsid w:val="00D50436"/>
    <w:rsid w:val="00D50583"/>
    <w:rsid w:val="00D50923"/>
    <w:rsid w:val="00D51A64"/>
    <w:rsid w:val="00D534D6"/>
    <w:rsid w:val="00D5689C"/>
    <w:rsid w:val="00D6258A"/>
    <w:rsid w:val="00D64A37"/>
    <w:rsid w:val="00D653B7"/>
    <w:rsid w:val="00D65C6D"/>
    <w:rsid w:val="00D65E2C"/>
    <w:rsid w:val="00D70FD7"/>
    <w:rsid w:val="00D752ED"/>
    <w:rsid w:val="00D75C0A"/>
    <w:rsid w:val="00D76A02"/>
    <w:rsid w:val="00D770AA"/>
    <w:rsid w:val="00D80131"/>
    <w:rsid w:val="00D810BE"/>
    <w:rsid w:val="00D815DA"/>
    <w:rsid w:val="00D81ADE"/>
    <w:rsid w:val="00D85E60"/>
    <w:rsid w:val="00D86DEC"/>
    <w:rsid w:val="00D870C1"/>
    <w:rsid w:val="00D873F2"/>
    <w:rsid w:val="00D874B6"/>
    <w:rsid w:val="00D87E4D"/>
    <w:rsid w:val="00D909A1"/>
    <w:rsid w:val="00D95CCB"/>
    <w:rsid w:val="00D961C1"/>
    <w:rsid w:val="00D977F9"/>
    <w:rsid w:val="00DA0FCB"/>
    <w:rsid w:val="00DA15E4"/>
    <w:rsid w:val="00DA3D1C"/>
    <w:rsid w:val="00DA49D9"/>
    <w:rsid w:val="00DA4AB1"/>
    <w:rsid w:val="00DA704F"/>
    <w:rsid w:val="00DA7896"/>
    <w:rsid w:val="00DB050D"/>
    <w:rsid w:val="00DB0D4E"/>
    <w:rsid w:val="00DB3FAE"/>
    <w:rsid w:val="00DB6290"/>
    <w:rsid w:val="00DC0931"/>
    <w:rsid w:val="00DC14E5"/>
    <w:rsid w:val="00DC3B29"/>
    <w:rsid w:val="00DC3B5A"/>
    <w:rsid w:val="00DC4631"/>
    <w:rsid w:val="00DC6EE2"/>
    <w:rsid w:val="00DC6F8E"/>
    <w:rsid w:val="00DD18A4"/>
    <w:rsid w:val="00DD23F3"/>
    <w:rsid w:val="00DD2913"/>
    <w:rsid w:val="00DD377B"/>
    <w:rsid w:val="00DD3AA4"/>
    <w:rsid w:val="00DD6BBB"/>
    <w:rsid w:val="00DD734F"/>
    <w:rsid w:val="00DE0023"/>
    <w:rsid w:val="00DE1DD5"/>
    <w:rsid w:val="00DE3601"/>
    <w:rsid w:val="00DE499F"/>
    <w:rsid w:val="00DE4B58"/>
    <w:rsid w:val="00DE6C19"/>
    <w:rsid w:val="00DE7A51"/>
    <w:rsid w:val="00DF345C"/>
    <w:rsid w:val="00DF35B8"/>
    <w:rsid w:val="00DF4FB9"/>
    <w:rsid w:val="00E019D5"/>
    <w:rsid w:val="00E0241E"/>
    <w:rsid w:val="00E033FB"/>
    <w:rsid w:val="00E05DF3"/>
    <w:rsid w:val="00E127A4"/>
    <w:rsid w:val="00E12AAD"/>
    <w:rsid w:val="00E13533"/>
    <w:rsid w:val="00E13762"/>
    <w:rsid w:val="00E155B5"/>
    <w:rsid w:val="00E17C6F"/>
    <w:rsid w:val="00E2077A"/>
    <w:rsid w:val="00E21CE8"/>
    <w:rsid w:val="00E252E1"/>
    <w:rsid w:val="00E27D48"/>
    <w:rsid w:val="00E32882"/>
    <w:rsid w:val="00E3377D"/>
    <w:rsid w:val="00E3506E"/>
    <w:rsid w:val="00E35415"/>
    <w:rsid w:val="00E36537"/>
    <w:rsid w:val="00E36CDB"/>
    <w:rsid w:val="00E370D7"/>
    <w:rsid w:val="00E40E4B"/>
    <w:rsid w:val="00E42BF3"/>
    <w:rsid w:val="00E430B2"/>
    <w:rsid w:val="00E43A86"/>
    <w:rsid w:val="00E45EC1"/>
    <w:rsid w:val="00E469A5"/>
    <w:rsid w:val="00E475E7"/>
    <w:rsid w:val="00E51133"/>
    <w:rsid w:val="00E52D55"/>
    <w:rsid w:val="00E5499B"/>
    <w:rsid w:val="00E551B2"/>
    <w:rsid w:val="00E5555F"/>
    <w:rsid w:val="00E55C92"/>
    <w:rsid w:val="00E56D7D"/>
    <w:rsid w:val="00E57B1C"/>
    <w:rsid w:val="00E60BCC"/>
    <w:rsid w:val="00E61A36"/>
    <w:rsid w:val="00E6351C"/>
    <w:rsid w:val="00E639B5"/>
    <w:rsid w:val="00E63F38"/>
    <w:rsid w:val="00E649B9"/>
    <w:rsid w:val="00E656CE"/>
    <w:rsid w:val="00E657A8"/>
    <w:rsid w:val="00E65D78"/>
    <w:rsid w:val="00E741DC"/>
    <w:rsid w:val="00E744E2"/>
    <w:rsid w:val="00E755A7"/>
    <w:rsid w:val="00E81977"/>
    <w:rsid w:val="00E8255A"/>
    <w:rsid w:val="00E8330B"/>
    <w:rsid w:val="00E83A36"/>
    <w:rsid w:val="00E84808"/>
    <w:rsid w:val="00E85948"/>
    <w:rsid w:val="00E8651C"/>
    <w:rsid w:val="00E8719E"/>
    <w:rsid w:val="00E917DC"/>
    <w:rsid w:val="00E92F62"/>
    <w:rsid w:val="00E93CAB"/>
    <w:rsid w:val="00E9572D"/>
    <w:rsid w:val="00E97126"/>
    <w:rsid w:val="00EA0C05"/>
    <w:rsid w:val="00EA22EF"/>
    <w:rsid w:val="00EA2851"/>
    <w:rsid w:val="00EA3145"/>
    <w:rsid w:val="00EA464B"/>
    <w:rsid w:val="00EA5733"/>
    <w:rsid w:val="00EA6F0D"/>
    <w:rsid w:val="00EA6F15"/>
    <w:rsid w:val="00EA7A1D"/>
    <w:rsid w:val="00EB0AAE"/>
    <w:rsid w:val="00EB177B"/>
    <w:rsid w:val="00EB5F25"/>
    <w:rsid w:val="00EB6C64"/>
    <w:rsid w:val="00EC1448"/>
    <w:rsid w:val="00EC1717"/>
    <w:rsid w:val="00EC1AA1"/>
    <w:rsid w:val="00EC34F7"/>
    <w:rsid w:val="00EC5726"/>
    <w:rsid w:val="00EC5979"/>
    <w:rsid w:val="00ED03E1"/>
    <w:rsid w:val="00ED1802"/>
    <w:rsid w:val="00ED2654"/>
    <w:rsid w:val="00ED2894"/>
    <w:rsid w:val="00ED2DB9"/>
    <w:rsid w:val="00ED4302"/>
    <w:rsid w:val="00ED4CF6"/>
    <w:rsid w:val="00ED700A"/>
    <w:rsid w:val="00ED7344"/>
    <w:rsid w:val="00ED7BFA"/>
    <w:rsid w:val="00EE0E24"/>
    <w:rsid w:val="00EE67E3"/>
    <w:rsid w:val="00EE71E2"/>
    <w:rsid w:val="00EE78F9"/>
    <w:rsid w:val="00EF1C33"/>
    <w:rsid w:val="00EF2092"/>
    <w:rsid w:val="00EF25B5"/>
    <w:rsid w:val="00EF306C"/>
    <w:rsid w:val="00EF3D22"/>
    <w:rsid w:val="00EF44A3"/>
    <w:rsid w:val="00EF5201"/>
    <w:rsid w:val="00EF6788"/>
    <w:rsid w:val="00EF6A73"/>
    <w:rsid w:val="00EF7730"/>
    <w:rsid w:val="00F0232D"/>
    <w:rsid w:val="00F0354A"/>
    <w:rsid w:val="00F05394"/>
    <w:rsid w:val="00F062D5"/>
    <w:rsid w:val="00F07DB7"/>
    <w:rsid w:val="00F105B8"/>
    <w:rsid w:val="00F126DD"/>
    <w:rsid w:val="00F135BE"/>
    <w:rsid w:val="00F14490"/>
    <w:rsid w:val="00F14B34"/>
    <w:rsid w:val="00F157EF"/>
    <w:rsid w:val="00F1773A"/>
    <w:rsid w:val="00F205B2"/>
    <w:rsid w:val="00F21207"/>
    <w:rsid w:val="00F21382"/>
    <w:rsid w:val="00F21827"/>
    <w:rsid w:val="00F22B82"/>
    <w:rsid w:val="00F24320"/>
    <w:rsid w:val="00F25118"/>
    <w:rsid w:val="00F2798A"/>
    <w:rsid w:val="00F32AC8"/>
    <w:rsid w:val="00F33F2D"/>
    <w:rsid w:val="00F37E51"/>
    <w:rsid w:val="00F4044E"/>
    <w:rsid w:val="00F40CCB"/>
    <w:rsid w:val="00F430C9"/>
    <w:rsid w:val="00F43178"/>
    <w:rsid w:val="00F43406"/>
    <w:rsid w:val="00F43893"/>
    <w:rsid w:val="00F43A8A"/>
    <w:rsid w:val="00F46637"/>
    <w:rsid w:val="00F47F76"/>
    <w:rsid w:val="00F50D53"/>
    <w:rsid w:val="00F54F0A"/>
    <w:rsid w:val="00F5525D"/>
    <w:rsid w:val="00F56844"/>
    <w:rsid w:val="00F56CD2"/>
    <w:rsid w:val="00F621C5"/>
    <w:rsid w:val="00F62667"/>
    <w:rsid w:val="00F65343"/>
    <w:rsid w:val="00F670AC"/>
    <w:rsid w:val="00F674BD"/>
    <w:rsid w:val="00F71BCF"/>
    <w:rsid w:val="00F73ED0"/>
    <w:rsid w:val="00F73FE7"/>
    <w:rsid w:val="00F748E8"/>
    <w:rsid w:val="00F75867"/>
    <w:rsid w:val="00F75B4A"/>
    <w:rsid w:val="00F77690"/>
    <w:rsid w:val="00F80B56"/>
    <w:rsid w:val="00F8174F"/>
    <w:rsid w:val="00F820F2"/>
    <w:rsid w:val="00F83877"/>
    <w:rsid w:val="00F84CFF"/>
    <w:rsid w:val="00F85514"/>
    <w:rsid w:val="00F87AC2"/>
    <w:rsid w:val="00F87AFA"/>
    <w:rsid w:val="00F90617"/>
    <w:rsid w:val="00F927CE"/>
    <w:rsid w:val="00F94279"/>
    <w:rsid w:val="00F94B19"/>
    <w:rsid w:val="00F97B57"/>
    <w:rsid w:val="00F97FDC"/>
    <w:rsid w:val="00FA04E1"/>
    <w:rsid w:val="00FA14B6"/>
    <w:rsid w:val="00FA1614"/>
    <w:rsid w:val="00FA292A"/>
    <w:rsid w:val="00FA30B9"/>
    <w:rsid w:val="00FA79C7"/>
    <w:rsid w:val="00FA7BDC"/>
    <w:rsid w:val="00FB0D39"/>
    <w:rsid w:val="00FB131F"/>
    <w:rsid w:val="00FB145B"/>
    <w:rsid w:val="00FB34BE"/>
    <w:rsid w:val="00FB45CE"/>
    <w:rsid w:val="00FB4B9F"/>
    <w:rsid w:val="00FB50DE"/>
    <w:rsid w:val="00FB51F5"/>
    <w:rsid w:val="00FB5B66"/>
    <w:rsid w:val="00FB6048"/>
    <w:rsid w:val="00FB6773"/>
    <w:rsid w:val="00FB7BF9"/>
    <w:rsid w:val="00FB7FF1"/>
    <w:rsid w:val="00FC0E6F"/>
    <w:rsid w:val="00FC2261"/>
    <w:rsid w:val="00FC2E05"/>
    <w:rsid w:val="00FC3B5A"/>
    <w:rsid w:val="00FC5A3A"/>
    <w:rsid w:val="00FC5B66"/>
    <w:rsid w:val="00FC6131"/>
    <w:rsid w:val="00FC6A9D"/>
    <w:rsid w:val="00FD2663"/>
    <w:rsid w:val="00FD3494"/>
    <w:rsid w:val="00FD4785"/>
    <w:rsid w:val="00FD4AEF"/>
    <w:rsid w:val="00FD7CB2"/>
    <w:rsid w:val="00FE0959"/>
    <w:rsid w:val="00FE1261"/>
    <w:rsid w:val="00FE44BB"/>
    <w:rsid w:val="00FE72E2"/>
    <w:rsid w:val="00FE79EB"/>
    <w:rsid w:val="00FE7D4A"/>
    <w:rsid w:val="00FF2EBC"/>
    <w:rsid w:val="00FF43A3"/>
    <w:rsid w:val="00FF5083"/>
    <w:rsid w:val="00FF5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8A8E9"/>
  <w15:docId w15:val="{426F9FB8-6C5F-4C36-9944-77BFCED0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02"/>
  </w:style>
  <w:style w:type="paragraph" w:styleId="Ttulo1">
    <w:name w:val="heading 1"/>
    <w:basedOn w:val="Normal"/>
    <w:next w:val="Normal"/>
    <w:link w:val="Ttulo1Char"/>
    <w:uiPriority w:val="9"/>
    <w:qFormat/>
    <w:rsid w:val="004C000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semiHidden/>
    <w:unhideWhenUsed/>
    <w:qFormat/>
    <w:rsid w:val="004C000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4C000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locked/>
    <w:rsid w:val="004C000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semiHidden/>
    <w:unhideWhenUsed/>
    <w:qFormat/>
    <w:rsid w:val="004C000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4C000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4C000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4C000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4C000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E6974"/>
    <w:pPr>
      <w:spacing w:after="0" w:line="240" w:lineRule="auto"/>
    </w:pPr>
    <w:rPr>
      <w:rFonts w:ascii="Tahoma" w:hAnsi="Tahoma"/>
      <w:sz w:val="16"/>
      <w:szCs w:val="20"/>
    </w:rPr>
  </w:style>
  <w:style w:type="character" w:customStyle="1" w:styleId="TextodebaloChar">
    <w:name w:val="Texto de balão Char"/>
    <w:semiHidden/>
    <w:locked/>
    <w:rsid w:val="00AE6974"/>
    <w:rPr>
      <w:rFonts w:ascii="Tahoma" w:hAnsi="Tahoma" w:cs="Times New Roman"/>
      <w:sz w:val="16"/>
    </w:rPr>
  </w:style>
  <w:style w:type="paragraph" w:styleId="Cabealho">
    <w:name w:val="header"/>
    <w:basedOn w:val="Normal"/>
    <w:rsid w:val="00AE6974"/>
    <w:pPr>
      <w:tabs>
        <w:tab w:val="center" w:pos="4252"/>
        <w:tab w:val="right" w:pos="8504"/>
      </w:tabs>
      <w:spacing w:after="0" w:line="240" w:lineRule="auto"/>
    </w:pPr>
    <w:rPr>
      <w:sz w:val="20"/>
      <w:szCs w:val="20"/>
    </w:rPr>
  </w:style>
  <w:style w:type="character" w:customStyle="1" w:styleId="CabealhoChar">
    <w:name w:val="Cabeçalho Char"/>
    <w:locked/>
    <w:rsid w:val="00AE6974"/>
    <w:rPr>
      <w:rFonts w:cs="Times New Roman"/>
    </w:rPr>
  </w:style>
  <w:style w:type="paragraph" w:styleId="Rodap">
    <w:name w:val="footer"/>
    <w:basedOn w:val="Normal"/>
    <w:uiPriority w:val="99"/>
    <w:rsid w:val="00AE6974"/>
    <w:pPr>
      <w:tabs>
        <w:tab w:val="center" w:pos="4252"/>
        <w:tab w:val="right" w:pos="8504"/>
      </w:tabs>
      <w:spacing w:after="0" w:line="240" w:lineRule="auto"/>
    </w:pPr>
    <w:rPr>
      <w:sz w:val="20"/>
      <w:szCs w:val="20"/>
    </w:rPr>
  </w:style>
  <w:style w:type="character" w:customStyle="1" w:styleId="RodapChar">
    <w:name w:val="Rodapé Char"/>
    <w:uiPriority w:val="99"/>
    <w:locked/>
    <w:rsid w:val="00AE6974"/>
    <w:rPr>
      <w:rFonts w:cs="Times New Roman"/>
    </w:rPr>
  </w:style>
  <w:style w:type="paragraph" w:styleId="Textodenotaderodap">
    <w:name w:val="footnote text"/>
    <w:basedOn w:val="Normal"/>
    <w:uiPriority w:val="99"/>
    <w:semiHidden/>
    <w:unhideWhenUsed/>
    <w:rsid w:val="00AE6974"/>
    <w:rPr>
      <w:sz w:val="20"/>
      <w:szCs w:val="20"/>
    </w:rPr>
  </w:style>
  <w:style w:type="character" w:customStyle="1" w:styleId="TextodenotaderodapChar">
    <w:name w:val="Texto de nota de rodapé Char"/>
    <w:uiPriority w:val="99"/>
    <w:semiHidden/>
    <w:rsid w:val="00AE6974"/>
    <w:rPr>
      <w:lang w:eastAsia="en-US"/>
    </w:rPr>
  </w:style>
  <w:style w:type="character" w:styleId="Refdenotaderodap">
    <w:name w:val="footnote reference"/>
    <w:uiPriority w:val="99"/>
    <w:semiHidden/>
    <w:unhideWhenUsed/>
    <w:rsid w:val="00AE6974"/>
    <w:rPr>
      <w:vertAlign w:val="superscript"/>
    </w:rPr>
  </w:style>
  <w:style w:type="character" w:customStyle="1" w:styleId="Ttulo4Char">
    <w:name w:val="Título 4 Char"/>
    <w:basedOn w:val="Fontepargpadro"/>
    <w:link w:val="Ttulo4"/>
    <w:uiPriority w:val="9"/>
    <w:rsid w:val="004C0002"/>
    <w:rPr>
      <w:rFonts w:asciiTheme="majorHAnsi" w:eastAsiaTheme="majorEastAsia" w:hAnsiTheme="majorHAnsi" w:cstheme="majorBidi"/>
      <w:color w:val="365F91" w:themeColor="accent1" w:themeShade="BF"/>
      <w:sz w:val="24"/>
      <w:szCs w:val="24"/>
    </w:rPr>
  </w:style>
  <w:style w:type="character" w:styleId="Hyperlink">
    <w:name w:val="Hyperlink"/>
    <w:uiPriority w:val="99"/>
    <w:rsid w:val="00AE6974"/>
    <w:rPr>
      <w:color w:val="0000FF"/>
      <w:u w:val="single"/>
    </w:rPr>
  </w:style>
  <w:style w:type="character" w:styleId="Nmerodepgina">
    <w:name w:val="page number"/>
    <w:rsid w:val="00AE6974"/>
  </w:style>
  <w:style w:type="character" w:styleId="Refdecomentrio">
    <w:name w:val="annotation reference"/>
    <w:semiHidden/>
    <w:unhideWhenUsed/>
    <w:rsid w:val="00AE6974"/>
    <w:rPr>
      <w:sz w:val="16"/>
      <w:szCs w:val="16"/>
    </w:rPr>
  </w:style>
  <w:style w:type="paragraph" w:styleId="Textodecomentrio">
    <w:name w:val="annotation text"/>
    <w:basedOn w:val="Normal"/>
    <w:unhideWhenUsed/>
    <w:rsid w:val="00AE6974"/>
    <w:rPr>
      <w:sz w:val="20"/>
      <w:szCs w:val="20"/>
    </w:rPr>
  </w:style>
  <w:style w:type="character" w:customStyle="1" w:styleId="TextodecomentrioChar">
    <w:name w:val="Texto de comentário Char"/>
    <w:semiHidden/>
    <w:rsid w:val="00AE6974"/>
    <w:rPr>
      <w:lang w:eastAsia="en-US"/>
    </w:rPr>
  </w:style>
  <w:style w:type="paragraph" w:styleId="Assuntodocomentrio">
    <w:name w:val="annotation subject"/>
    <w:basedOn w:val="Textodecomentrio"/>
    <w:next w:val="Textodecomentrio"/>
    <w:semiHidden/>
    <w:unhideWhenUsed/>
    <w:rsid w:val="00AE6974"/>
    <w:rPr>
      <w:b/>
      <w:bCs/>
    </w:rPr>
  </w:style>
  <w:style w:type="character" w:customStyle="1" w:styleId="AssuntodocomentrioChar">
    <w:name w:val="Assunto do comentário Char"/>
    <w:semiHidden/>
    <w:rsid w:val="00AE6974"/>
    <w:rPr>
      <w:b/>
      <w:bCs/>
      <w:lang w:eastAsia="en-US"/>
    </w:rPr>
  </w:style>
  <w:style w:type="paragraph" w:styleId="Corpodetexto">
    <w:name w:val="Body Text"/>
    <w:basedOn w:val="Normal"/>
    <w:semiHidden/>
    <w:rsid w:val="00AE6974"/>
    <w:pPr>
      <w:shd w:val="clear" w:color="auto" w:fill="FFFFFF"/>
      <w:spacing w:before="120" w:after="120" w:line="240" w:lineRule="auto"/>
      <w:jc w:val="both"/>
    </w:pPr>
    <w:rPr>
      <w:rFonts w:ascii="Arial" w:hAnsi="Arial" w:cs="Arial"/>
      <w:color w:val="FF0000"/>
      <w:sz w:val="24"/>
      <w:szCs w:val="24"/>
    </w:rPr>
  </w:style>
  <w:style w:type="paragraph" w:styleId="Recuodecorpodetexto">
    <w:name w:val="Body Text Indent"/>
    <w:basedOn w:val="Normal"/>
    <w:semiHidden/>
    <w:rsid w:val="00AE6974"/>
    <w:pPr>
      <w:shd w:val="clear" w:color="auto" w:fill="FFFFFF"/>
      <w:spacing w:before="120" w:after="120" w:line="360" w:lineRule="auto"/>
      <w:ind w:firstLine="709"/>
      <w:jc w:val="both"/>
    </w:pPr>
    <w:rPr>
      <w:rFonts w:ascii="Arial" w:hAnsi="Arial" w:cs="Arial"/>
      <w:color w:val="008000"/>
      <w:sz w:val="24"/>
      <w:szCs w:val="24"/>
    </w:rPr>
  </w:style>
  <w:style w:type="paragraph" w:styleId="Recuodecorpodetexto2">
    <w:name w:val="Body Text Indent 2"/>
    <w:basedOn w:val="Normal"/>
    <w:semiHidden/>
    <w:rsid w:val="00AE6974"/>
    <w:pPr>
      <w:shd w:val="clear" w:color="auto" w:fill="FFFFFF"/>
      <w:spacing w:before="120" w:after="120" w:line="360" w:lineRule="auto"/>
      <w:ind w:firstLine="709"/>
      <w:jc w:val="both"/>
    </w:pPr>
    <w:rPr>
      <w:rFonts w:ascii="Arial" w:hAnsi="Arial" w:cs="Arial"/>
      <w:color w:val="FF0000"/>
      <w:sz w:val="24"/>
      <w:szCs w:val="24"/>
    </w:rPr>
  </w:style>
  <w:style w:type="paragraph" w:styleId="Recuodecorpodetexto3">
    <w:name w:val="Body Text Indent 3"/>
    <w:basedOn w:val="Normal"/>
    <w:semiHidden/>
    <w:rsid w:val="00AE6974"/>
    <w:pPr>
      <w:shd w:val="clear" w:color="auto" w:fill="FFFFFF"/>
      <w:spacing w:before="120" w:after="120" w:line="360" w:lineRule="auto"/>
      <w:ind w:firstLine="709"/>
      <w:jc w:val="both"/>
    </w:pPr>
    <w:rPr>
      <w:rFonts w:ascii="Arial" w:hAnsi="Arial" w:cs="Arial"/>
      <w:sz w:val="24"/>
      <w:szCs w:val="24"/>
    </w:rPr>
  </w:style>
  <w:style w:type="character" w:customStyle="1" w:styleId="apple-converted-space">
    <w:name w:val="apple-converted-space"/>
    <w:basedOn w:val="Fontepargpadro"/>
    <w:rsid w:val="00493A65"/>
  </w:style>
  <w:style w:type="paragraph" w:styleId="PargrafodaLista">
    <w:name w:val="List Paragraph"/>
    <w:basedOn w:val="Normal"/>
    <w:uiPriority w:val="34"/>
    <w:qFormat/>
    <w:rsid w:val="00334B38"/>
    <w:pPr>
      <w:ind w:left="720"/>
      <w:contextualSpacing/>
    </w:pPr>
  </w:style>
  <w:style w:type="character" w:customStyle="1" w:styleId="Ttulo2Char">
    <w:name w:val="Título 2 Char"/>
    <w:basedOn w:val="Fontepargpadro"/>
    <w:link w:val="Ttulo2"/>
    <w:uiPriority w:val="9"/>
    <w:semiHidden/>
    <w:rsid w:val="004C000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BA2808"/>
    <w:pPr>
      <w:suppressAutoHyphens/>
      <w:spacing w:before="28" w:after="28" w:line="240" w:lineRule="auto"/>
    </w:pPr>
    <w:rPr>
      <w:rFonts w:ascii="Arial Unicode MS" w:eastAsia="MS Mincho" w:hAnsi="Arial Unicode MS"/>
      <w:color w:val="000000"/>
      <w:kern w:val="1"/>
      <w:sz w:val="24"/>
      <w:szCs w:val="24"/>
    </w:rPr>
  </w:style>
  <w:style w:type="paragraph" w:customStyle="1" w:styleId="dou-paragraph">
    <w:name w:val="dou-paragraph"/>
    <w:basedOn w:val="Normal"/>
    <w:rsid w:val="00BB6457"/>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5615F"/>
    <w:rPr>
      <w:color w:val="605E5C"/>
      <w:shd w:val="clear" w:color="auto" w:fill="E1DFDD"/>
    </w:rPr>
  </w:style>
  <w:style w:type="character" w:styleId="Forte">
    <w:name w:val="Strong"/>
    <w:basedOn w:val="Fontepargpadro"/>
    <w:uiPriority w:val="22"/>
    <w:qFormat/>
    <w:rsid w:val="004C0002"/>
    <w:rPr>
      <w:b/>
      <w:bCs/>
    </w:rPr>
  </w:style>
  <w:style w:type="character" w:styleId="HiperlinkVisitado">
    <w:name w:val="FollowedHyperlink"/>
    <w:basedOn w:val="Fontepargpadro"/>
    <w:uiPriority w:val="99"/>
    <w:semiHidden/>
    <w:unhideWhenUsed/>
    <w:rsid w:val="00B64AAE"/>
    <w:rPr>
      <w:color w:val="800080" w:themeColor="followedHyperlink"/>
      <w:u w:val="single"/>
    </w:rPr>
  </w:style>
  <w:style w:type="paragraph" w:customStyle="1" w:styleId="msonormal0">
    <w:name w:val="msonormal"/>
    <w:basedOn w:val="Normal"/>
    <w:rsid w:val="0035575F"/>
    <w:pP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35575F"/>
    <w:pPr>
      <w:spacing w:before="100" w:beforeAutospacing="1" w:after="100" w:afterAutospacing="1" w:line="240" w:lineRule="auto"/>
    </w:pPr>
    <w:rPr>
      <w:rFonts w:ascii="Times New Roman" w:hAnsi="Times New Roman"/>
      <w:sz w:val="18"/>
      <w:szCs w:val="18"/>
    </w:rPr>
  </w:style>
  <w:style w:type="paragraph" w:customStyle="1" w:styleId="xl70">
    <w:name w:val="xl70"/>
    <w:basedOn w:val="Normal"/>
    <w:rsid w:val="0035575F"/>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35575F"/>
    <w:pPr>
      <w:spacing w:before="100" w:beforeAutospacing="1" w:after="100" w:afterAutospacing="1" w:line="240" w:lineRule="auto"/>
      <w:jc w:val="right"/>
      <w:textAlignment w:val="center"/>
    </w:pPr>
    <w:rPr>
      <w:rFonts w:ascii="Times New Roman" w:hAnsi="Times New Roman"/>
      <w:sz w:val="20"/>
      <w:szCs w:val="20"/>
    </w:rPr>
  </w:style>
  <w:style w:type="paragraph" w:customStyle="1" w:styleId="xl72">
    <w:name w:val="xl72"/>
    <w:basedOn w:val="Normal"/>
    <w:rsid w:val="0035575F"/>
    <w:pPr>
      <w:spacing w:before="100" w:beforeAutospacing="1" w:after="100" w:afterAutospacing="1" w:line="240" w:lineRule="auto"/>
    </w:pPr>
    <w:rPr>
      <w:rFonts w:ascii="Times New Roman" w:hAnsi="Times New Roman"/>
      <w:sz w:val="20"/>
      <w:szCs w:val="20"/>
    </w:rPr>
  </w:style>
  <w:style w:type="paragraph" w:customStyle="1" w:styleId="xl73">
    <w:name w:val="xl73"/>
    <w:basedOn w:val="Normal"/>
    <w:rsid w:val="0035575F"/>
    <w:pPr>
      <w:spacing w:before="100" w:beforeAutospacing="1" w:after="100" w:afterAutospacing="1" w:line="240" w:lineRule="auto"/>
    </w:pPr>
    <w:rPr>
      <w:rFonts w:ascii="Times New Roman" w:hAnsi="Times New Roman"/>
      <w:sz w:val="20"/>
      <w:szCs w:val="20"/>
    </w:rPr>
  </w:style>
  <w:style w:type="paragraph" w:customStyle="1" w:styleId="xl74">
    <w:name w:val="xl74"/>
    <w:basedOn w:val="Normal"/>
    <w:rsid w:val="0035575F"/>
    <w:pPr>
      <w:shd w:val="clear" w:color="000000" w:fill="92D050"/>
      <w:spacing w:before="100" w:beforeAutospacing="1" w:after="100" w:afterAutospacing="1" w:line="240" w:lineRule="auto"/>
    </w:pPr>
    <w:rPr>
      <w:rFonts w:ascii="Times New Roman" w:hAnsi="Times New Roman"/>
      <w:sz w:val="20"/>
      <w:szCs w:val="20"/>
    </w:rPr>
  </w:style>
  <w:style w:type="paragraph" w:customStyle="1" w:styleId="xl75">
    <w:name w:val="xl75"/>
    <w:basedOn w:val="Normal"/>
    <w:rsid w:val="0035575F"/>
    <w:pPr>
      <w:shd w:val="clear" w:color="000000" w:fill="92D050"/>
      <w:spacing w:before="100" w:beforeAutospacing="1" w:after="100" w:afterAutospacing="1" w:line="240" w:lineRule="auto"/>
      <w:jc w:val="right"/>
      <w:textAlignment w:val="center"/>
    </w:pPr>
    <w:rPr>
      <w:rFonts w:ascii="Times New Roman" w:hAnsi="Times New Roman"/>
      <w:sz w:val="20"/>
      <w:szCs w:val="20"/>
    </w:rPr>
  </w:style>
  <w:style w:type="paragraph" w:customStyle="1" w:styleId="xl76">
    <w:name w:val="xl76"/>
    <w:basedOn w:val="Normal"/>
    <w:rsid w:val="0035575F"/>
    <w:pPr>
      <w:shd w:val="clear" w:color="000000" w:fill="92D050"/>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35575F"/>
    <w:pPr>
      <w:shd w:val="clear" w:color="000000" w:fill="92D050"/>
      <w:spacing w:before="100" w:beforeAutospacing="1" w:after="100" w:afterAutospacing="1" w:line="240" w:lineRule="auto"/>
    </w:pPr>
    <w:rPr>
      <w:rFonts w:ascii="Times New Roman" w:hAnsi="Times New Roman"/>
      <w:sz w:val="20"/>
      <w:szCs w:val="20"/>
    </w:rPr>
  </w:style>
  <w:style w:type="paragraph" w:customStyle="1" w:styleId="xl78">
    <w:name w:val="xl78"/>
    <w:basedOn w:val="Normal"/>
    <w:rsid w:val="0035575F"/>
    <w:pPr>
      <w:shd w:val="clear" w:color="000000" w:fill="B4C6E7"/>
      <w:spacing w:before="100" w:beforeAutospacing="1" w:after="100" w:afterAutospacing="1" w:line="240" w:lineRule="auto"/>
      <w:jc w:val="center"/>
      <w:textAlignment w:val="center"/>
    </w:pPr>
    <w:rPr>
      <w:rFonts w:ascii="Times New Roman" w:hAnsi="Times New Roman"/>
      <w:b/>
      <w:bCs/>
      <w:sz w:val="20"/>
      <w:szCs w:val="20"/>
    </w:rPr>
  </w:style>
  <w:style w:type="character" w:customStyle="1" w:styleId="Ttulo1Char">
    <w:name w:val="Título 1 Char"/>
    <w:basedOn w:val="Fontepargpadro"/>
    <w:link w:val="Ttulo1"/>
    <w:uiPriority w:val="9"/>
    <w:rsid w:val="004C0002"/>
    <w:rPr>
      <w:rFonts w:asciiTheme="majorHAnsi" w:eastAsiaTheme="majorEastAsia" w:hAnsiTheme="majorHAnsi" w:cstheme="majorBidi"/>
      <w:color w:val="244061" w:themeColor="accent1" w:themeShade="80"/>
      <w:sz w:val="36"/>
      <w:szCs w:val="36"/>
    </w:rPr>
  </w:style>
  <w:style w:type="character" w:customStyle="1" w:styleId="Ttulo3Char">
    <w:name w:val="Título 3 Char"/>
    <w:basedOn w:val="Fontepargpadro"/>
    <w:link w:val="Ttulo3"/>
    <w:uiPriority w:val="9"/>
    <w:semiHidden/>
    <w:rsid w:val="004C0002"/>
    <w:rPr>
      <w:rFonts w:asciiTheme="majorHAnsi" w:eastAsiaTheme="majorEastAsia" w:hAnsiTheme="majorHAnsi" w:cstheme="majorBidi"/>
      <w:color w:val="365F91" w:themeColor="accent1" w:themeShade="BF"/>
      <w:sz w:val="28"/>
      <w:szCs w:val="28"/>
    </w:rPr>
  </w:style>
  <w:style w:type="character" w:customStyle="1" w:styleId="Ttulo5Char">
    <w:name w:val="Título 5 Char"/>
    <w:basedOn w:val="Fontepargpadro"/>
    <w:link w:val="Ttulo5"/>
    <w:uiPriority w:val="9"/>
    <w:semiHidden/>
    <w:rsid w:val="004C0002"/>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4C0002"/>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4C0002"/>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4C0002"/>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4C0002"/>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4C0002"/>
    <w:pPr>
      <w:spacing w:line="240" w:lineRule="auto"/>
    </w:pPr>
    <w:rPr>
      <w:b/>
      <w:bCs/>
      <w:smallCaps/>
      <w:color w:val="1F497D" w:themeColor="text2"/>
    </w:rPr>
  </w:style>
  <w:style w:type="paragraph" w:styleId="Ttulo">
    <w:name w:val="Title"/>
    <w:basedOn w:val="Normal"/>
    <w:next w:val="Normal"/>
    <w:link w:val="TtuloChar"/>
    <w:uiPriority w:val="10"/>
    <w:qFormat/>
    <w:rsid w:val="004C000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har">
    <w:name w:val="Título Char"/>
    <w:basedOn w:val="Fontepargpadro"/>
    <w:link w:val="Ttulo"/>
    <w:uiPriority w:val="10"/>
    <w:rsid w:val="004C0002"/>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4C000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4C0002"/>
    <w:rPr>
      <w:rFonts w:asciiTheme="majorHAnsi" w:eastAsiaTheme="majorEastAsia" w:hAnsiTheme="majorHAnsi" w:cstheme="majorBidi"/>
      <w:color w:val="4F81BD" w:themeColor="accent1"/>
      <w:sz w:val="28"/>
      <w:szCs w:val="28"/>
    </w:rPr>
  </w:style>
  <w:style w:type="character" w:styleId="nfase">
    <w:name w:val="Emphasis"/>
    <w:basedOn w:val="Fontepargpadro"/>
    <w:uiPriority w:val="20"/>
    <w:qFormat/>
    <w:rsid w:val="004C0002"/>
    <w:rPr>
      <w:i/>
      <w:iCs/>
    </w:rPr>
  </w:style>
  <w:style w:type="paragraph" w:styleId="SemEspaamento">
    <w:name w:val="No Spacing"/>
    <w:uiPriority w:val="1"/>
    <w:qFormat/>
    <w:rsid w:val="004C0002"/>
    <w:pPr>
      <w:spacing w:after="0" w:line="240" w:lineRule="auto"/>
    </w:pPr>
  </w:style>
  <w:style w:type="paragraph" w:styleId="Citao">
    <w:name w:val="Quote"/>
    <w:basedOn w:val="Normal"/>
    <w:next w:val="Normal"/>
    <w:link w:val="CitaoChar"/>
    <w:uiPriority w:val="29"/>
    <w:qFormat/>
    <w:rsid w:val="004C0002"/>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4C0002"/>
    <w:rPr>
      <w:color w:val="1F497D" w:themeColor="text2"/>
      <w:sz w:val="24"/>
      <w:szCs w:val="24"/>
    </w:rPr>
  </w:style>
  <w:style w:type="paragraph" w:styleId="CitaoIntensa">
    <w:name w:val="Intense Quote"/>
    <w:basedOn w:val="Normal"/>
    <w:next w:val="Normal"/>
    <w:link w:val="CitaoIntensaChar"/>
    <w:uiPriority w:val="30"/>
    <w:qFormat/>
    <w:rsid w:val="004C000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4C0002"/>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4C0002"/>
    <w:rPr>
      <w:i/>
      <w:iCs/>
      <w:color w:val="595959" w:themeColor="text1" w:themeTint="A6"/>
    </w:rPr>
  </w:style>
  <w:style w:type="character" w:styleId="nfaseIntensa">
    <w:name w:val="Intense Emphasis"/>
    <w:basedOn w:val="Fontepargpadro"/>
    <w:uiPriority w:val="21"/>
    <w:qFormat/>
    <w:rsid w:val="004C0002"/>
    <w:rPr>
      <w:b/>
      <w:bCs/>
      <w:i/>
      <w:iCs/>
    </w:rPr>
  </w:style>
  <w:style w:type="character" w:styleId="RefernciaSutil">
    <w:name w:val="Subtle Reference"/>
    <w:basedOn w:val="Fontepargpadro"/>
    <w:uiPriority w:val="31"/>
    <w:qFormat/>
    <w:rsid w:val="004C0002"/>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4C0002"/>
    <w:rPr>
      <w:b/>
      <w:bCs/>
      <w:smallCaps/>
      <w:color w:val="1F497D" w:themeColor="text2"/>
      <w:u w:val="single"/>
    </w:rPr>
  </w:style>
  <w:style w:type="character" w:styleId="TtulodoLivro">
    <w:name w:val="Book Title"/>
    <w:basedOn w:val="Fontepargpadro"/>
    <w:uiPriority w:val="33"/>
    <w:qFormat/>
    <w:rsid w:val="004C0002"/>
    <w:rPr>
      <w:b/>
      <w:bCs/>
      <w:smallCaps/>
      <w:spacing w:val="10"/>
    </w:rPr>
  </w:style>
  <w:style w:type="paragraph" w:styleId="CabealhodoSumrio">
    <w:name w:val="TOC Heading"/>
    <w:basedOn w:val="Ttulo1"/>
    <w:next w:val="Normal"/>
    <w:uiPriority w:val="39"/>
    <w:semiHidden/>
    <w:unhideWhenUsed/>
    <w:qFormat/>
    <w:rsid w:val="004C00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2575">
      <w:bodyDiv w:val="1"/>
      <w:marLeft w:val="0"/>
      <w:marRight w:val="0"/>
      <w:marTop w:val="0"/>
      <w:marBottom w:val="0"/>
      <w:divBdr>
        <w:top w:val="none" w:sz="0" w:space="0" w:color="auto"/>
        <w:left w:val="none" w:sz="0" w:space="0" w:color="auto"/>
        <w:bottom w:val="none" w:sz="0" w:space="0" w:color="auto"/>
        <w:right w:val="none" w:sz="0" w:space="0" w:color="auto"/>
      </w:divBdr>
    </w:div>
    <w:div w:id="163932374">
      <w:bodyDiv w:val="1"/>
      <w:marLeft w:val="0"/>
      <w:marRight w:val="0"/>
      <w:marTop w:val="0"/>
      <w:marBottom w:val="0"/>
      <w:divBdr>
        <w:top w:val="none" w:sz="0" w:space="0" w:color="auto"/>
        <w:left w:val="none" w:sz="0" w:space="0" w:color="auto"/>
        <w:bottom w:val="none" w:sz="0" w:space="0" w:color="auto"/>
        <w:right w:val="none" w:sz="0" w:space="0" w:color="auto"/>
      </w:divBdr>
    </w:div>
    <w:div w:id="227806405">
      <w:bodyDiv w:val="1"/>
      <w:marLeft w:val="0"/>
      <w:marRight w:val="0"/>
      <w:marTop w:val="0"/>
      <w:marBottom w:val="0"/>
      <w:divBdr>
        <w:top w:val="none" w:sz="0" w:space="0" w:color="auto"/>
        <w:left w:val="none" w:sz="0" w:space="0" w:color="auto"/>
        <w:bottom w:val="none" w:sz="0" w:space="0" w:color="auto"/>
        <w:right w:val="none" w:sz="0" w:space="0" w:color="auto"/>
      </w:divBdr>
    </w:div>
    <w:div w:id="247738386">
      <w:bodyDiv w:val="1"/>
      <w:marLeft w:val="0"/>
      <w:marRight w:val="0"/>
      <w:marTop w:val="0"/>
      <w:marBottom w:val="0"/>
      <w:divBdr>
        <w:top w:val="none" w:sz="0" w:space="0" w:color="auto"/>
        <w:left w:val="none" w:sz="0" w:space="0" w:color="auto"/>
        <w:bottom w:val="none" w:sz="0" w:space="0" w:color="auto"/>
        <w:right w:val="none" w:sz="0" w:space="0" w:color="auto"/>
      </w:divBdr>
    </w:div>
    <w:div w:id="254830089">
      <w:bodyDiv w:val="1"/>
      <w:marLeft w:val="0"/>
      <w:marRight w:val="0"/>
      <w:marTop w:val="0"/>
      <w:marBottom w:val="0"/>
      <w:divBdr>
        <w:top w:val="none" w:sz="0" w:space="0" w:color="auto"/>
        <w:left w:val="none" w:sz="0" w:space="0" w:color="auto"/>
        <w:bottom w:val="none" w:sz="0" w:space="0" w:color="auto"/>
        <w:right w:val="none" w:sz="0" w:space="0" w:color="auto"/>
      </w:divBdr>
    </w:div>
    <w:div w:id="273488109">
      <w:bodyDiv w:val="1"/>
      <w:marLeft w:val="0"/>
      <w:marRight w:val="0"/>
      <w:marTop w:val="0"/>
      <w:marBottom w:val="0"/>
      <w:divBdr>
        <w:top w:val="none" w:sz="0" w:space="0" w:color="auto"/>
        <w:left w:val="none" w:sz="0" w:space="0" w:color="auto"/>
        <w:bottom w:val="none" w:sz="0" w:space="0" w:color="auto"/>
        <w:right w:val="none" w:sz="0" w:space="0" w:color="auto"/>
      </w:divBdr>
      <w:divsChild>
        <w:div w:id="1236545940">
          <w:marLeft w:val="0"/>
          <w:marRight w:val="0"/>
          <w:marTop w:val="0"/>
          <w:marBottom w:val="0"/>
          <w:divBdr>
            <w:top w:val="none" w:sz="0" w:space="0" w:color="auto"/>
            <w:left w:val="none" w:sz="0" w:space="0" w:color="auto"/>
            <w:bottom w:val="none" w:sz="0" w:space="0" w:color="auto"/>
            <w:right w:val="none" w:sz="0" w:space="0" w:color="auto"/>
          </w:divBdr>
        </w:div>
      </w:divsChild>
    </w:div>
    <w:div w:id="280190041">
      <w:bodyDiv w:val="1"/>
      <w:marLeft w:val="0"/>
      <w:marRight w:val="0"/>
      <w:marTop w:val="0"/>
      <w:marBottom w:val="0"/>
      <w:divBdr>
        <w:top w:val="none" w:sz="0" w:space="0" w:color="auto"/>
        <w:left w:val="none" w:sz="0" w:space="0" w:color="auto"/>
        <w:bottom w:val="none" w:sz="0" w:space="0" w:color="auto"/>
        <w:right w:val="none" w:sz="0" w:space="0" w:color="auto"/>
      </w:divBdr>
    </w:div>
    <w:div w:id="392628082">
      <w:bodyDiv w:val="1"/>
      <w:marLeft w:val="0"/>
      <w:marRight w:val="0"/>
      <w:marTop w:val="0"/>
      <w:marBottom w:val="0"/>
      <w:divBdr>
        <w:top w:val="none" w:sz="0" w:space="0" w:color="auto"/>
        <w:left w:val="none" w:sz="0" w:space="0" w:color="auto"/>
        <w:bottom w:val="none" w:sz="0" w:space="0" w:color="auto"/>
        <w:right w:val="none" w:sz="0" w:space="0" w:color="auto"/>
      </w:divBdr>
    </w:div>
    <w:div w:id="430779200">
      <w:bodyDiv w:val="1"/>
      <w:marLeft w:val="0"/>
      <w:marRight w:val="0"/>
      <w:marTop w:val="0"/>
      <w:marBottom w:val="0"/>
      <w:divBdr>
        <w:top w:val="none" w:sz="0" w:space="0" w:color="auto"/>
        <w:left w:val="none" w:sz="0" w:space="0" w:color="auto"/>
        <w:bottom w:val="none" w:sz="0" w:space="0" w:color="auto"/>
        <w:right w:val="none" w:sz="0" w:space="0" w:color="auto"/>
      </w:divBdr>
    </w:div>
    <w:div w:id="446194388">
      <w:bodyDiv w:val="1"/>
      <w:marLeft w:val="0"/>
      <w:marRight w:val="0"/>
      <w:marTop w:val="0"/>
      <w:marBottom w:val="0"/>
      <w:divBdr>
        <w:top w:val="none" w:sz="0" w:space="0" w:color="auto"/>
        <w:left w:val="none" w:sz="0" w:space="0" w:color="auto"/>
        <w:bottom w:val="none" w:sz="0" w:space="0" w:color="auto"/>
        <w:right w:val="none" w:sz="0" w:space="0" w:color="auto"/>
      </w:divBdr>
    </w:div>
    <w:div w:id="459419412">
      <w:bodyDiv w:val="1"/>
      <w:marLeft w:val="0"/>
      <w:marRight w:val="0"/>
      <w:marTop w:val="0"/>
      <w:marBottom w:val="0"/>
      <w:divBdr>
        <w:top w:val="none" w:sz="0" w:space="0" w:color="auto"/>
        <w:left w:val="none" w:sz="0" w:space="0" w:color="auto"/>
        <w:bottom w:val="none" w:sz="0" w:space="0" w:color="auto"/>
        <w:right w:val="none" w:sz="0" w:space="0" w:color="auto"/>
      </w:divBdr>
    </w:div>
    <w:div w:id="489761030">
      <w:bodyDiv w:val="1"/>
      <w:marLeft w:val="0"/>
      <w:marRight w:val="0"/>
      <w:marTop w:val="0"/>
      <w:marBottom w:val="0"/>
      <w:divBdr>
        <w:top w:val="none" w:sz="0" w:space="0" w:color="auto"/>
        <w:left w:val="none" w:sz="0" w:space="0" w:color="auto"/>
        <w:bottom w:val="none" w:sz="0" w:space="0" w:color="auto"/>
        <w:right w:val="none" w:sz="0" w:space="0" w:color="auto"/>
      </w:divBdr>
    </w:div>
    <w:div w:id="511795998">
      <w:bodyDiv w:val="1"/>
      <w:marLeft w:val="0"/>
      <w:marRight w:val="0"/>
      <w:marTop w:val="0"/>
      <w:marBottom w:val="0"/>
      <w:divBdr>
        <w:top w:val="none" w:sz="0" w:space="0" w:color="auto"/>
        <w:left w:val="none" w:sz="0" w:space="0" w:color="auto"/>
        <w:bottom w:val="none" w:sz="0" w:space="0" w:color="auto"/>
        <w:right w:val="none" w:sz="0" w:space="0" w:color="auto"/>
      </w:divBdr>
    </w:div>
    <w:div w:id="559438849">
      <w:bodyDiv w:val="1"/>
      <w:marLeft w:val="0"/>
      <w:marRight w:val="0"/>
      <w:marTop w:val="0"/>
      <w:marBottom w:val="0"/>
      <w:divBdr>
        <w:top w:val="none" w:sz="0" w:space="0" w:color="auto"/>
        <w:left w:val="none" w:sz="0" w:space="0" w:color="auto"/>
        <w:bottom w:val="none" w:sz="0" w:space="0" w:color="auto"/>
        <w:right w:val="none" w:sz="0" w:space="0" w:color="auto"/>
      </w:divBdr>
    </w:div>
    <w:div w:id="657465013">
      <w:bodyDiv w:val="1"/>
      <w:marLeft w:val="0"/>
      <w:marRight w:val="0"/>
      <w:marTop w:val="0"/>
      <w:marBottom w:val="0"/>
      <w:divBdr>
        <w:top w:val="none" w:sz="0" w:space="0" w:color="auto"/>
        <w:left w:val="none" w:sz="0" w:space="0" w:color="auto"/>
        <w:bottom w:val="none" w:sz="0" w:space="0" w:color="auto"/>
        <w:right w:val="none" w:sz="0" w:space="0" w:color="auto"/>
      </w:divBdr>
    </w:div>
    <w:div w:id="675157493">
      <w:bodyDiv w:val="1"/>
      <w:marLeft w:val="0"/>
      <w:marRight w:val="0"/>
      <w:marTop w:val="0"/>
      <w:marBottom w:val="0"/>
      <w:divBdr>
        <w:top w:val="none" w:sz="0" w:space="0" w:color="auto"/>
        <w:left w:val="none" w:sz="0" w:space="0" w:color="auto"/>
        <w:bottom w:val="none" w:sz="0" w:space="0" w:color="auto"/>
        <w:right w:val="none" w:sz="0" w:space="0" w:color="auto"/>
      </w:divBdr>
    </w:div>
    <w:div w:id="682510227">
      <w:bodyDiv w:val="1"/>
      <w:marLeft w:val="0"/>
      <w:marRight w:val="0"/>
      <w:marTop w:val="0"/>
      <w:marBottom w:val="0"/>
      <w:divBdr>
        <w:top w:val="none" w:sz="0" w:space="0" w:color="auto"/>
        <w:left w:val="none" w:sz="0" w:space="0" w:color="auto"/>
        <w:bottom w:val="none" w:sz="0" w:space="0" w:color="auto"/>
        <w:right w:val="none" w:sz="0" w:space="0" w:color="auto"/>
      </w:divBdr>
    </w:div>
    <w:div w:id="683173588">
      <w:bodyDiv w:val="1"/>
      <w:marLeft w:val="0"/>
      <w:marRight w:val="0"/>
      <w:marTop w:val="0"/>
      <w:marBottom w:val="0"/>
      <w:divBdr>
        <w:top w:val="none" w:sz="0" w:space="0" w:color="auto"/>
        <w:left w:val="none" w:sz="0" w:space="0" w:color="auto"/>
        <w:bottom w:val="none" w:sz="0" w:space="0" w:color="auto"/>
        <w:right w:val="none" w:sz="0" w:space="0" w:color="auto"/>
      </w:divBdr>
    </w:div>
    <w:div w:id="739594797">
      <w:bodyDiv w:val="1"/>
      <w:marLeft w:val="0"/>
      <w:marRight w:val="0"/>
      <w:marTop w:val="0"/>
      <w:marBottom w:val="0"/>
      <w:divBdr>
        <w:top w:val="none" w:sz="0" w:space="0" w:color="auto"/>
        <w:left w:val="none" w:sz="0" w:space="0" w:color="auto"/>
        <w:bottom w:val="none" w:sz="0" w:space="0" w:color="auto"/>
        <w:right w:val="none" w:sz="0" w:space="0" w:color="auto"/>
      </w:divBdr>
    </w:div>
    <w:div w:id="862213125">
      <w:bodyDiv w:val="1"/>
      <w:marLeft w:val="0"/>
      <w:marRight w:val="0"/>
      <w:marTop w:val="0"/>
      <w:marBottom w:val="0"/>
      <w:divBdr>
        <w:top w:val="none" w:sz="0" w:space="0" w:color="auto"/>
        <w:left w:val="none" w:sz="0" w:space="0" w:color="auto"/>
        <w:bottom w:val="none" w:sz="0" w:space="0" w:color="auto"/>
        <w:right w:val="none" w:sz="0" w:space="0" w:color="auto"/>
      </w:divBdr>
    </w:div>
    <w:div w:id="899554055">
      <w:bodyDiv w:val="1"/>
      <w:marLeft w:val="0"/>
      <w:marRight w:val="0"/>
      <w:marTop w:val="0"/>
      <w:marBottom w:val="0"/>
      <w:divBdr>
        <w:top w:val="none" w:sz="0" w:space="0" w:color="auto"/>
        <w:left w:val="none" w:sz="0" w:space="0" w:color="auto"/>
        <w:bottom w:val="none" w:sz="0" w:space="0" w:color="auto"/>
        <w:right w:val="none" w:sz="0" w:space="0" w:color="auto"/>
      </w:divBdr>
    </w:div>
    <w:div w:id="899556347">
      <w:bodyDiv w:val="1"/>
      <w:marLeft w:val="0"/>
      <w:marRight w:val="0"/>
      <w:marTop w:val="0"/>
      <w:marBottom w:val="0"/>
      <w:divBdr>
        <w:top w:val="none" w:sz="0" w:space="0" w:color="auto"/>
        <w:left w:val="none" w:sz="0" w:space="0" w:color="auto"/>
        <w:bottom w:val="none" w:sz="0" w:space="0" w:color="auto"/>
        <w:right w:val="none" w:sz="0" w:space="0" w:color="auto"/>
      </w:divBdr>
    </w:div>
    <w:div w:id="916747043">
      <w:bodyDiv w:val="1"/>
      <w:marLeft w:val="0"/>
      <w:marRight w:val="0"/>
      <w:marTop w:val="0"/>
      <w:marBottom w:val="0"/>
      <w:divBdr>
        <w:top w:val="none" w:sz="0" w:space="0" w:color="auto"/>
        <w:left w:val="none" w:sz="0" w:space="0" w:color="auto"/>
        <w:bottom w:val="none" w:sz="0" w:space="0" w:color="auto"/>
        <w:right w:val="none" w:sz="0" w:space="0" w:color="auto"/>
      </w:divBdr>
    </w:div>
    <w:div w:id="928150139">
      <w:bodyDiv w:val="1"/>
      <w:marLeft w:val="0"/>
      <w:marRight w:val="0"/>
      <w:marTop w:val="0"/>
      <w:marBottom w:val="0"/>
      <w:divBdr>
        <w:top w:val="none" w:sz="0" w:space="0" w:color="auto"/>
        <w:left w:val="none" w:sz="0" w:space="0" w:color="auto"/>
        <w:bottom w:val="none" w:sz="0" w:space="0" w:color="auto"/>
        <w:right w:val="none" w:sz="0" w:space="0" w:color="auto"/>
      </w:divBdr>
    </w:div>
    <w:div w:id="950824515">
      <w:bodyDiv w:val="1"/>
      <w:marLeft w:val="0"/>
      <w:marRight w:val="0"/>
      <w:marTop w:val="0"/>
      <w:marBottom w:val="0"/>
      <w:divBdr>
        <w:top w:val="none" w:sz="0" w:space="0" w:color="auto"/>
        <w:left w:val="none" w:sz="0" w:space="0" w:color="auto"/>
        <w:bottom w:val="none" w:sz="0" w:space="0" w:color="auto"/>
        <w:right w:val="none" w:sz="0" w:space="0" w:color="auto"/>
      </w:divBdr>
    </w:div>
    <w:div w:id="1045837516">
      <w:bodyDiv w:val="1"/>
      <w:marLeft w:val="0"/>
      <w:marRight w:val="0"/>
      <w:marTop w:val="0"/>
      <w:marBottom w:val="0"/>
      <w:divBdr>
        <w:top w:val="none" w:sz="0" w:space="0" w:color="auto"/>
        <w:left w:val="none" w:sz="0" w:space="0" w:color="auto"/>
        <w:bottom w:val="none" w:sz="0" w:space="0" w:color="auto"/>
        <w:right w:val="none" w:sz="0" w:space="0" w:color="auto"/>
      </w:divBdr>
    </w:div>
    <w:div w:id="1086539088">
      <w:bodyDiv w:val="1"/>
      <w:marLeft w:val="0"/>
      <w:marRight w:val="0"/>
      <w:marTop w:val="0"/>
      <w:marBottom w:val="0"/>
      <w:divBdr>
        <w:top w:val="none" w:sz="0" w:space="0" w:color="auto"/>
        <w:left w:val="none" w:sz="0" w:space="0" w:color="auto"/>
        <w:bottom w:val="none" w:sz="0" w:space="0" w:color="auto"/>
        <w:right w:val="none" w:sz="0" w:space="0" w:color="auto"/>
      </w:divBdr>
    </w:div>
    <w:div w:id="1155754767">
      <w:bodyDiv w:val="1"/>
      <w:marLeft w:val="0"/>
      <w:marRight w:val="0"/>
      <w:marTop w:val="0"/>
      <w:marBottom w:val="0"/>
      <w:divBdr>
        <w:top w:val="none" w:sz="0" w:space="0" w:color="auto"/>
        <w:left w:val="none" w:sz="0" w:space="0" w:color="auto"/>
        <w:bottom w:val="none" w:sz="0" w:space="0" w:color="auto"/>
        <w:right w:val="none" w:sz="0" w:space="0" w:color="auto"/>
      </w:divBdr>
    </w:div>
    <w:div w:id="1315328872">
      <w:bodyDiv w:val="1"/>
      <w:marLeft w:val="0"/>
      <w:marRight w:val="0"/>
      <w:marTop w:val="0"/>
      <w:marBottom w:val="0"/>
      <w:divBdr>
        <w:top w:val="none" w:sz="0" w:space="0" w:color="auto"/>
        <w:left w:val="none" w:sz="0" w:space="0" w:color="auto"/>
        <w:bottom w:val="none" w:sz="0" w:space="0" w:color="auto"/>
        <w:right w:val="none" w:sz="0" w:space="0" w:color="auto"/>
      </w:divBdr>
    </w:div>
    <w:div w:id="1321421052">
      <w:bodyDiv w:val="1"/>
      <w:marLeft w:val="0"/>
      <w:marRight w:val="0"/>
      <w:marTop w:val="0"/>
      <w:marBottom w:val="0"/>
      <w:divBdr>
        <w:top w:val="none" w:sz="0" w:space="0" w:color="auto"/>
        <w:left w:val="none" w:sz="0" w:space="0" w:color="auto"/>
        <w:bottom w:val="none" w:sz="0" w:space="0" w:color="auto"/>
        <w:right w:val="none" w:sz="0" w:space="0" w:color="auto"/>
      </w:divBdr>
    </w:div>
    <w:div w:id="1322272622">
      <w:bodyDiv w:val="1"/>
      <w:marLeft w:val="0"/>
      <w:marRight w:val="0"/>
      <w:marTop w:val="0"/>
      <w:marBottom w:val="0"/>
      <w:divBdr>
        <w:top w:val="none" w:sz="0" w:space="0" w:color="auto"/>
        <w:left w:val="none" w:sz="0" w:space="0" w:color="auto"/>
        <w:bottom w:val="none" w:sz="0" w:space="0" w:color="auto"/>
        <w:right w:val="none" w:sz="0" w:space="0" w:color="auto"/>
      </w:divBdr>
    </w:div>
    <w:div w:id="1354302886">
      <w:bodyDiv w:val="1"/>
      <w:marLeft w:val="0"/>
      <w:marRight w:val="0"/>
      <w:marTop w:val="0"/>
      <w:marBottom w:val="0"/>
      <w:divBdr>
        <w:top w:val="none" w:sz="0" w:space="0" w:color="auto"/>
        <w:left w:val="none" w:sz="0" w:space="0" w:color="auto"/>
        <w:bottom w:val="none" w:sz="0" w:space="0" w:color="auto"/>
        <w:right w:val="none" w:sz="0" w:space="0" w:color="auto"/>
      </w:divBdr>
    </w:div>
    <w:div w:id="1354307719">
      <w:bodyDiv w:val="1"/>
      <w:marLeft w:val="0"/>
      <w:marRight w:val="0"/>
      <w:marTop w:val="0"/>
      <w:marBottom w:val="0"/>
      <w:divBdr>
        <w:top w:val="none" w:sz="0" w:space="0" w:color="auto"/>
        <w:left w:val="none" w:sz="0" w:space="0" w:color="auto"/>
        <w:bottom w:val="none" w:sz="0" w:space="0" w:color="auto"/>
        <w:right w:val="none" w:sz="0" w:space="0" w:color="auto"/>
      </w:divBdr>
    </w:div>
    <w:div w:id="1367490068">
      <w:bodyDiv w:val="1"/>
      <w:marLeft w:val="0"/>
      <w:marRight w:val="0"/>
      <w:marTop w:val="0"/>
      <w:marBottom w:val="0"/>
      <w:divBdr>
        <w:top w:val="none" w:sz="0" w:space="0" w:color="auto"/>
        <w:left w:val="none" w:sz="0" w:space="0" w:color="auto"/>
        <w:bottom w:val="none" w:sz="0" w:space="0" w:color="auto"/>
        <w:right w:val="none" w:sz="0" w:space="0" w:color="auto"/>
      </w:divBdr>
    </w:div>
    <w:div w:id="1403795232">
      <w:bodyDiv w:val="1"/>
      <w:marLeft w:val="0"/>
      <w:marRight w:val="0"/>
      <w:marTop w:val="0"/>
      <w:marBottom w:val="0"/>
      <w:divBdr>
        <w:top w:val="none" w:sz="0" w:space="0" w:color="auto"/>
        <w:left w:val="none" w:sz="0" w:space="0" w:color="auto"/>
        <w:bottom w:val="none" w:sz="0" w:space="0" w:color="auto"/>
        <w:right w:val="none" w:sz="0" w:space="0" w:color="auto"/>
      </w:divBdr>
    </w:div>
    <w:div w:id="1486243379">
      <w:bodyDiv w:val="1"/>
      <w:marLeft w:val="0"/>
      <w:marRight w:val="0"/>
      <w:marTop w:val="0"/>
      <w:marBottom w:val="0"/>
      <w:divBdr>
        <w:top w:val="none" w:sz="0" w:space="0" w:color="auto"/>
        <w:left w:val="none" w:sz="0" w:space="0" w:color="auto"/>
        <w:bottom w:val="none" w:sz="0" w:space="0" w:color="auto"/>
        <w:right w:val="none" w:sz="0" w:space="0" w:color="auto"/>
      </w:divBdr>
      <w:divsChild>
        <w:div w:id="1578443671">
          <w:marLeft w:val="0"/>
          <w:marRight w:val="0"/>
          <w:marTop w:val="0"/>
          <w:marBottom w:val="0"/>
          <w:divBdr>
            <w:top w:val="none" w:sz="0" w:space="0" w:color="auto"/>
            <w:left w:val="none" w:sz="0" w:space="0" w:color="auto"/>
            <w:bottom w:val="none" w:sz="0" w:space="0" w:color="auto"/>
            <w:right w:val="none" w:sz="0" w:space="0" w:color="auto"/>
          </w:divBdr>
        </w:div>
      </w:divsChild>
    </w:div>
    <w:div w:id="1535844205">
      <w:bodyDiv w:val="1"/>
      <w:marLeft w:val="0"/>
      <w:marRight w:val="0"/>
      <w:marTop w:val="0"/>
      <w:marBottom w:val="0"/>
      <w:divBdr>
        <w:top w:val="none" w:sz="0" w:space="0" w:color="auto"/>
        <w:left w:val="none" w:sz="0" w:space="0" w:color="auto"/>
        <w:bottom w:val="none" w:sz="0" w:space="0" w:color="auto"/>
        <w:right w:val="none" w:sz="0" w:space="0" w:color="auto"/>
      </w:divBdr>
    </w:div>
    <w:div w:id="1577547694">
      <w:bodyDiv w:val="1"/>
      <w:marLeft w:val="0"/>
      <w:marRight w:val="0"/>
      <w:marTop w:val="0"/>
      <w:marBottom w:val="0"/>
      <w:divBdr>
        <w:top w:val="none" w:sz="0" w:space="0" w:color="auto"/>
        <w:left w:val="none" w:sz="0" w:space="0" w:color="auto"/>
        <w:bottom w:val="none" w:sz="0" w:space="0" w:color="auto"/>
        <w:right w:val="none" w:sz="0" w:space="0" w:color="auto"/>
      </w:divBdr>
    </w:div>
    <w:div w:id="1727991750">
      <w:bodyDiv w:val="1"/>
      <w:marLeft w:val="0"/>
      <w:marRight w:val="0"/>
      <w:marTop w:val="0"/>
      <w:marBottom w:val="0"/>
      <w:divBdr>
        <w:top w:val="none" w:sz="0" w:space="0" w:color="auto"/>
        <w:left w:val="none" w:sz="0" w:space="0" w:color="auto"/>
        <w:bottom w:val="none" w:sz="0" w:space="0" w:color="auto"/>
        <w:right w:val="none" w:sz="0" w:space="0" w:color="auto"/>
      </w:divBdr>
    </w:div>
    <w:div w:id="1783911413">
      <w:bodyDiv w:val="1"/>
      <w:marLeft w:val="0"/>
      <w:marRight w:val="0"/>
      <w:marTop w:val="0"/>
      <w:marBottom w:val="0"/>
      <w:divBdr>
        <w:top w:val="none" w:sz="0" w:space="0" w:color="auto"/>
        <w:left w:val="none" w:sz="0" w:space="0" w:color="auto"/>
        <w:bottom w:val="none" w:sz="0" w:space="0" w:color="auto"/>
        <w:right w:val="none" w:sz="0" w:space="0" w:color="auto"/>
      </w:divBdr>
    </w:div>
    <w:div w:id="1783917021">
      <w:bodyDiv w:val="1"/>
      <w:marLeft w:val="0"/>
      <w:marRight w:val="0"/>
      <w:marTop w:val="0"/>
      <w:marBottom w:val="0"/>
      <w:divBdr>
        <w:top w:val="none" w:sz="0" w:space="0" w:color="auto"/>
        <w:left w:val="none" w:sz="0" w:space="0" w:color="auto"/>
        <w:bottom w:val="none" w:sz="0" w:space="0" w:color="auto"/>
        <w:right w:val="none" w:sz="0" w:space="0" w:color="auto"/>
      </w:divBdr>
    </w:div>
    <w:div w:id="1844973719">
      <w:bodyDiv w:val="1"/>
      <w:marLeft w:val="0"/>
      <w:marRight w:val="0"/>
      <w:marTop w:val="0"/>
      <w:marBottom w:val="0"/>
      <w:divBdr>
        <w:top w:val="none" w:sz="0" w:space="0" w:color="auto"/>
        <w:left w:val="none" w:sz="0" w:space="0" w:color="auto"/>
        <w:bottom w:val="none" w:sz="0" w:space="0" w:color="auto"/>
        <w:right w:val="none" w:sz="0" w:space="0" w:color="auto"/>
      </w:divBdr>
    </w:div>
    <w:div w:id="1923224215">
      <w:bodyDiv w:val="1"/>
      <w:marLeft w:val="0"/>
      <w:marRight w:val="0"/>
      <w:marTop w:val="0"/>
      <w:marBottom w:val="0"/>
      <w:divBdr>
        <w:top w:val="none" w:sz="0" w:space="0" w:color="auto"/>
        <w:left w:val="none" w:sz="0" w:space="0" w:color="auto"/>
        <w:bottom w:val="none" w:sz="0" w:space="0" w:color="auto"/>
        <w:right w:val="none" w:sz="0" w:space="0" w:color="auto"/>
      </w:divBdr>
    </w:div>
    <w:div w:id="1942637120">
      <w:bodyDiv w:val="1"/>
      <w:marLeft w:val="0"/>
      <w:marRight w:val="0"/>
      <w:marTop w:val="0"/>
      <w:marBottom w:val="0"/>
      <w:divBdr>
        <w:top w:val="none" w:sz="0" w:space="0" w:color="auto"/>
        <w:left w:val="none" w:sz="0" w:space="0" w:color="auto"/>
        <w:bottom w:val="none" w:sz="0" w:space="0" w:color="auto"/>
        <w:right w:val="none" w:sz="0" w:space="0" w:color="auto"/>
      </w:divBdr>
    </w:div>
    <w:div w:id="2082940037">
      <w:bodyDiv w:val="1"/>
      <w:marLeft w:val="0"/>
      <w:marRight w:val="0"/>
      <w:marTop w:val="0"/>
      <w:marBottom w:val="0"/>
      <w:divBdr>
        <w:top w:val="none" w:sz="0" w:space="0" w:color="auto"/>
        <w:left w:val="none" w:sz="0" w:space="0" w:color="auto"/>
        <w:bottom w:val="none" w:sz="0" w:space="0" w:color="auto"/>
        <w:right w:val="none" w:sz="0" w:space="0" w:color="auto"/>
      </w:divBdr>
    </w:div>
    <w:div w:id="2104956082">
      <w:bodyDiv w:val="1"/>
      <w:marLeft w:val="0"/>
      <w:marRight w:val="0"/>
      <w:marTop w:val="0"/>
      <w:marBottom w:val="0"/>
      <w:divBdr>
        <w:top w:val="none" w:sz="0" w:space="0" w:color="auto"/>
        <w:left w:val="none" w:sz="0" w:space="0" w:color="auto"/>
        <w:bottom w:val="none" w:sz="0" w:space="0" w:color="auto"/>
        <w:right w:val="none" w:sz="0" w:space="0" w:color="auto"/>
      </w:divBdr>
    </w:div>
    <w:div w:id="21446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studostecnicos@sindifisconacional.org.br" TargetMode="Externa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9d6c5a19-32f2-4765-9e4c-d05e31db1a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5862B54CD156429598485D00E424A9" ma:contentTypeVersion="8" ma:contentTypeDescription="Create a new document." ma:contentTypeScope="" ma:versionID="e6dc1e30db2cd026fafca93d9706615b">
  <xsd:schema xmlns:xsd="http://www.w3.org/2001/XMLSchema" xmlns:xs="http://www.w3.org/2001/XMLSchema" xmlns:p="http://schemas.microsoft.com/office/2006/metadata/properties" xmlns:ns3="9d6c5a19-32f2-4765-9e4c-d05e31db1a5c" xmlns:ns4="5597027f-65d8-4457-8831-a929b1e7212a" targetNamespace="http://schemas.microsoft.com/office/2006/metadata/properties" ma:root="true" ma:fieldsID="980b0c3338a4ac2a029d8ed156cdfb1e" ns3:_="" ns4:_="">
    <xsd:import namespace="9d6c5a19-32f2-4765-9e4c-d05e31db1a5c"/>
    <xsd:import namespace="5597027f-65d8-4457-8831-a929b1e7212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c5a19-32f2-4765-9e4c-d05e31db1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7027f-65d8-4457-8831-a929b1e721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660F1-C358-4402-93AD-87B8B63260F7}">
  <ds:schemaRefs>
    <ds:schemaRef ds:uri="http://schemas.microsoft.com/sharepoint/v3/contenttype/forms"/>
  </ds:schemaRefs>
</ds:datastoreItem>
</file>

<file path=customXml/itemProps2.xml><?xml version="1.0" encoding="utf-8"?>
<ds:datastoreItem xmlns:ds="http://schemas.openxmlformats.org/officeDocument/2006/customXml" ds:itemID="{F952EAEC-E731-4954-9782-A386055D1836}">
  <ds:schemaRefs>
    <ds:schemaRef ds:uri="http://schemas.openxmlformats.org/officeDocument/2006/bibliography"/>
  </ds:schemaRefs>
</ds:datastoreItem>
</file>

<file path=customXml/itemProps3.xml><?xml version="1.0" encoding="utf-8"?>
<ds:datastoreItem xmlns:ds="http://schemas.openxmlformats.org/officeDocument/2006/customXml" ds:itemID="{AB422A54-DDEF-4921-AB34-115A83A9842C}">
  <ds:schemaRefs>
    <ds:schemaRef ds:uri="http://schemas.microsoft.com/office/2006/metadata/properties"/>
    <ds:schemaRef ds:uri="http://schemas.microsoft.com/office/infopath/2007/PartnerControls"/>
    <ds:schemaRef ds:uri="9d6c5a19-32f2-4765-9e4c-d05e31db1a5c"/>
  </ds:schemaRefs>
</ds:datastoreItem>
</file>

<file path=customXml/itemProps4.xml><?xml version="1.0" encoding="utf-8"?>
<ds:datastoreItem xmlns:ds="http://schemas.openxmlformats.org/officeDocument/2006/customXml" ds:itemID="{59EB4341-47B1-409B-9220-027E6F096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c5a19-32f2-4765-9e4c-d05e31db1a5c"/>
    <ds:schemaRef ds:uri="5597027f-65d8-4457-8831-a929b1e72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2432</Words>
  <Characters>13136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CORREÇÃO DA TABELA DO IR</vt:lpstr>
    </vt:vector>
  </TitlesOfParts>
  <Company>Microsoft</Company>
  <LinksUpToDate>false</LinksUpToDate>
  <CharactersWithSpaces>15537</CharactersWithSpaces>
  <SharedDoc>false</SharedDoc>
  <HLinks>
    <vt:vector size="12" baseType="variant">
      <vt:variant>
        <vt:i4>131173</vt:i4>
      </vt:variant>
      <vt:variant>
        <vt:i4>0</vt:i4>
      </vt:variant>
      <vt:variant>
        <vt:i4>0</vt:i4>
      </vt:variant>
      <vt:variant>
        <vt:i4>5</vt:i4>
      </vt:variant>
      <vt:variant>
        <vt:lpwstr>mailto:estudostecnicos@sindifisconacional.org.br</vt:lpwstr>
      </vt:variant>
      <vt:variant>
        <vt:lpwstr/>
      </vt:variant>
      <vt:variant>
        <vt:i4>8323074</vt:i4>
      </vt:variant>
      <vt:variant>
        <vt:i4>0</vt:i4>
      </vt:variant>
      <vt:variant>
        <vt:i4>0</vt:i4>
      </vt:variant>
      <vt:variant>
        <vt:i4>5</vt:i4>
      </vt:variant>
      <vt:variant>
        <vt:lpwstr>http://www.correiobraziliense.com.br/app/noticia/economia/2014/12/09/internas_economia,4612 02/mp-ira-corrigir-a-tabela-de-imposto-de-renda-em-2015-promete-governo.shtml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CORREÇÃO DA TABELA DO IR</dc:title>
  <dc:subject/>
  <dc:creator>Bette Maria</dc:creator>
  <cp:keywords/>
  <dc:description/>
  <cp:lastModifiedBy>Joana Marins</cp:lastModifiedBy>
  <cp:revision>15</cp:revision>
  <cp:lastPrinted>2022-03-11T14:56:00Z</cp:lastPrinted>
  <dcterms:created xsi:type="dcterms:W3CDTF">2024-12-12T15:56:00Z</dcterms:created>
  <dcterms:modified xsi:type="dcterms:W3CDTF">2024-12-27T13:23:00Z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0x010100B35862B54CD156429598485D00E424A9</vt:lpwstr>
  </property>
</Properties>
</file>